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4EB5" w14:textId="6E594747" w:rsidR="006743D5" w:rsidRDefault="006743D5" w:rsidP="006743D5">
      <w:pPr>
        <w:spacing w:line="360" w:lineRule="auto"/>
        <w:rPr>
          <w:color w:val="0070C0"/>
          <w:sz w:val="24"/>
          <w:rtl/>
        </w:rPr>
      </w:pPr>
      <w:r>
        <w:rPr>
          <w:rFonts w:hint="cs"/>
          <w:color w:val="0070C0"/>
          <w:sz w:val="24"/>
          <w:rtl/>
        </w:rPr>
        <w:t xml:space="preserve">ד"ר </w:t>
      </w:r>
      <w:proofErr w:type="spellStart"/>
      <w:r>
        <w:rPr>
          <w:rFonts w:hint="cs"/>
          <w:color w:val="0070C0"/>
          <w:sz w:val="24"/>
          <w:rtl/>
        </w:rPr>
        <w:t>חנא</w:t>
      </w:r>
      <w:proofErr w:type="spellEnd"/>
      <w:r>
        <w:rPr>
          <w:rFonts w:hint="cs"/>
          <w:color w:val="0070C0"/>
          <w:sz w:val="24"/>
          <w:rtl/>
        </w:rPr>
        <w:t xml:space="preserve"> </w:t>
      </w:r>
      <w:proofErr w:type="spellStart"/>
      <w:r>
        <w:rPr>
          <w:rFonts w:hint="cs"/>
          <w:color w:val="0070C0"/>
          <w:sz w:val="24"/>
          <w:rtl/>
        </w:rPr>
        <w:t>סוויד</w:t>
      </w:r>
      <w:proofErr w:type="spellEnd"/>
      <w:r>
        <w:rPr>
          <w:rFonts w:hint="cs"/>
          <w:color w:val="0070C0"/>
          <w:sz w:val="24"/>
          <w:rtl/>
        </w:rPr>
        <w:t>,</w:t>
      </w:r>
    </w:p>
    <w:p w14:paraId="721062EE" w14:textId="7B547F00" w:rsidR="006743D5" w:rsidRDefault="006743D5" w:rsidP="006743D5">
      <w:pPr>
        <w:spacing w:line="360" w:lineRule="auto"/>
        <w:rPr>
          <w:color w:val="0070C0"/>
          <w:sz w:val="24"/>
          <w:rtl/>
        </w:rPr>
      </w:pPr>
      <w:r>
        <w:rPr>
          <w:rFonts w:hint="cs"/>
          <w:color w:val="0070C0"/>
          <w:sz w:val="24"/>
          <w:rtl/>
        </w:rPr>
        <w:t>יולי 2020</w:t>
      </w:r>
    </w:p>
    <w:p w14:paraId="73990E25" w14:textId="77777777" w:rsidR="006743D5" w:rsidRPr="006743D5" w:rsidRDefault="006743D5" w:rsidP="006743D5">
      <w:pPr>
        <w:spacing w:line="360" w:lineRule="auto"/>
        <w:rPr>
          <w:color w:val="0070C0"/>
          <w:sz w:val="24"/>
          <w:rtl/>
        </w:rPr>
      </w:pPr>
    </w:p>
    <w:p w14:paraId="00743DFE" w14:textId="05742FD4" w:rsidR="006743D5" w:rsidRDefault="006F71DA" w:rsidP="006F71DA">
      <w:pPr>
        <w:spacing w:line="360" w:lineRule="auto"/>
        <w:jc w:val="center"/>
        <w:rPr>
          <w:b w:val="0"/>
          <w:bCs/>
          <w:sz w:val="28"/>
          <w:szCs w:val="32"/>
          <w:rtl/>
        </w:rPr>
      </w:pPr>
      <w:r>
        <w:rPr>
          <w:rFonts w:hint="cs"/>
          <w:b w:val="0"/>
          <w:bCs/>
          <w:sz w:val="28"/>
          <w:szCs w:val="32"/>
          <w:rtl/>
        </w:rPr>
        <w:t>הצעות</w:t>
      </w:r>
      <w:r w:rsidR="00245786" w:rsidRPr="006F71DA">
        <w:rPr>
          <w:rFonts w:hint="cs"/>
          <w:b w:val="0"/>
          <w:bCs/>
          <w:sz w:val="28"/>
          <w:szCs w:val="32"/>
          <w:rtl/>
        </w:rPr>
        <w:t xml:space="preserve"> לפעולות במישור התכנוני </w:t>
      </w:r>
    </w:p>
    <w:p w14:paraId="15C413E9" w14:textId="2CF36CDD" w:rsidR="00245786" w:rsidRPr="006F71DA" w:rsidRDefault="006743D5" w:rsidP="006F71DA">
      <w:pPr>
        <w:spacing w:line="360" w:lineRule="auto"/>
        <w:jc w:val="center"/>
        <w:rPr>
          <w:b w:val="0"/>
          <w:bCs/>
          <w:sz w:val="28"/>
          <w:szCs w:val="32"/>
          <w:rtl/>
        </w:rPr>
      </w:pPr>
      <w:r>
        <w:rPr>
          <w:rFonts w:hint="cs"/>
          <w:b w:val="0"/>
          <w:bCs/>
          <w:sz w:val="28"/>
          <w:szCs w:val="32"/>
          <w:rtl/>
        </w:rPr>
        <w:t xml:space="preserve">להגנה </w:t>
      </w:r>
      <w:r w:rsidR="00245786" w:rsidRPr="006F71DA">
        <w:rPr>
          <w:rFonts w:hint="cs"/>
          <w:b w:val="0"/>
          <w:bCs/>
          <w:sz w:val="28"/>
          <w:szCs w:val="32"/>
          <w:rtl/>
        </w:rPr>
        <w:t xml:space="preserve">על בתי קברות </w:t>
      </w:r>
      <w:r w:rsidR="00AF521F" w:rsidRPr="006F71DA">
        <w:rPr>
          <w:rFonts w:hint="cs"/>
          <w:b w:val="0"/>
          <w:bCs/>
          <w:sz w:val="28"/>
          <w:szCs w:val="32"/>
          <w:rtl/>
        </w:rPr>
        <w:t xml:space="preserve">(ומבני דת) </w:t>
      </w:r>
      <w:r w:rsidR="00245786" w:rsidRPr="006F71DA">
        <w:rPr>
          <w:rFonts w:hint="cs"/>
          <w:b w:val="0"/>
          <w:bCs/>
          <w:sz w:val="28"/>
          <w:szCs w:val="32"/>
          <w:rtl/>
        </w:rPr>
        <w:t xml:space="preserve">בישובים </w:t>
      </w:r>
      <w:r w:rsidR="006F71DA">
        <w:rPr>
          <w:rFonts w:hint="cs"/>
          <w:b w:val="0"/>
          <w:bCs/>
          <w:sz w:val="28"/>
          <w:szCs w:val="32"/>
          <w:rtl/>
        </w:rPr>
        <w:t>ה</w:t>
      </w:r>
      <w:r w:rsidR="00245786" w:rsidRPr="006F71DA">
        <w:rPr>
          <w:rFonts w:hint="cs"/>
          <w:b w:val="0"/>
          <w:bCs/>
          <w:sz w:val="28"/>
          <w:szCs w:val="32"/>
          <w:rtl/>
        </w:rPr>
        <w:t>עקורים</w:t>
      </w:r>
    </w:p>
    <w:p w14:paraId="1E3CA066" w14:textId="77777777" w:rsidR="006F71DA" w:rsidRDefault="006F71DA" w:rsidP="006F71DA">
      <w:pPr>
        <w:spacing w:line="360" w:lineRule="auto"/>
        <w:rPr>
          <w:rtl/>
        </w:rPr>
      </w:pPr>
    </w:p>
    <w:p w14:paraId="16E218DD" w14:textId="77777777" w:rsidR="00AF521F" w:rsidRDefault="00245786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חוק התכנון והבנייה ומצאי </w:t>
      </w:r>
      <w:proofErr w:type="spellStart"/>
      <w:r>
        <w:rPr>
          <w:rFonts w:hint="cs"/>
          <w:rtl/>
        </w:rPr>
        <w:t>התכניות</w:t>
      </w:r>
      <w:proofErr w:type="spellEnd"/>
      <w:r>
        <w:rPr>
          <w:rFonts w:hint="cs"/>
          <w:rtl/>
        </w:rPr>
        <w:t xml:space="preserve"> הארציות והמחוזיות אינ</w:t>
      </w:r>
      <w:r w:rsidR="00754AE9">
        <w:rPr>
          <w:rFonts w:hint="cs"/>
          <w:rtl/>
        </w:rPr>
        <w:t>ם מתייחסים</w:t>
      </w:r>
      <w:r>
        <w:rPr>
          <w:rFonts w:hint="cs"/>
          <w:rtl/>
        </w:rPr>
        <w:t xml:space="preserve"> לבתי הקברות הלא-פעילים בישובים העקורים</w:t>
      </w:r>
      <w:r w:rsidR="004F061A">
        <w:rPr>
          <w:rFonts w:hint="cs"/>
          <w:rtl/>
        </w:rPr>
        <w:t xml:space="preserve"> ואינם מספקים להם הגנה</w:t>
      </w:r>
      <w:r w:rsidR="00754AE9">
        <w:rPr>
          <w:rFonts w:hint="cs"/>
          <w:rtl/>
        </w:rPr>
        <w:t xml:space="preserve"> מפני עבודות בנייה וסלילה.</w:t>
      </w:r>
    </w:p>
    <w:p w14:paraId="7AE08569" w14:textId="555B7CF4" w:rsidR="00AF521F" w:rsidRDefault="006743D5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דרושות </w:t>
      </w:r>
      <w:r w:rsidR="00AF521F">
        <w:rPr>
          <w:rFonts w:hint="cs"/>
          <w:rtl/>
        </w:rPr>
        <w:t xml:space="preserve">פעולות במישור התכנוני שיספקו קו הגנה ראשון מפני פגיעה וחילול, מאחר ועבודות הבנייה והסלילה שעלולות לגרום פגיעה מתחילות בהכנת </w:t>
      </w:r>
      <w:proofErr w:type="spellStart"/>
      <w:r w:rsidR="00AF521F">
        <w:rPr>
          <w:rFonts w:hint="cs"/>
          <w:rtl/>
        </w:rPr>
        <w:t>תכניות</w:t>
      </w:r>
      <w:proofErr w:type="spellEnd"/>
      <w:r w:rsidR="00AF521F">
        <w:rPr>
          <w:rFonts w:hint="cs"/>
          <w:rtl/>
        </w:rPr>
        <w:t xml:space="preserve"> שמתאשרות במוסדות התכנון והבנייה.</w:t>
      </w:r>
    </w:p>
    <w:p w14:paraId="126B1704" w14:textId="6856DA03" w:rsidR="00AF521F" w:rsidRDefault="00AF521F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>להלן מספר רעיונות להטמעת ההגנה על בתי הקברות (ועל מבני דת) באמצעות מהלכים תכנוניים סטטוטוריים עפ"י התשתית החוקית והתכנונית הנוהגת</w:t>
      </w:r>
      <w:r w:rsidR="00D45010">
        <w:rPr>
          <w:rFonts w:hint="cs"/>
          <w:rtl/>
        </w:rPr>
        <w:t>. יודגש ש</w:t>
      </w:r>
      <w:r w:rsidR="006743D5">
        <w:rPr>
          <w:rFonts w:hint="cs"/>
          <w:rtl/>
        </w:rPr>
        <w:t>הרעיונות הללו אינם בבחינת הלא-שנוי-במחלוקת</w:t>
      </w:r>
      <w:r w:rsidR="00D45010">
        <w:rPr>
          <w:rFonts w:hint="cs"/>
          <w:rtl/>
        </w:rPr>
        <w:t>, וספק אם תהיה היענות לביצ</w:t>
      </w:r>
      <w:r w:rsidR="006F71DA">
        <w:rPr>
          <w:rFonts w:hint="cs"/>
          <w:rtl/>
        </w:rPr>
        <w:t>ועם מצד השלטונות ומוסדות המדינה. ההיענות תלויה במידת הנחישות והעקביות</w:t>
      </w:r>
      <w:r w:rsidR="006743D5">
        <w:rPr>
          <w:rFonts w:hint="cs"/>
          <w:rtl/>
        </w:rPr>
        <w:t xml:space="preserve"> שלנו</w:t>
      </w:r>
      <w:r w:rsidR="006F71DA">
        <w:rPr>
          <w:rFonts w:hint="cs"/>
          <w:rtl/>
        </w:rPr>
        <w:t xml:space="preserve">, והלחץ הציבורי והפוליטי שיופעל על המוסדות הרלוונטיים.  </w:t>
      </w:r>
    </w:p>
    <w:p w14:paraId="35473E4E" w14:textId="77777777" w:rsidR="006743D5" w:rsidRDefault="006743D5" w:rsidP="006743D5">
      <w:pPr>
        <w:spacing w:line="360" w:lineRule="auto"/>
        <w:jc w:val="both"/>
        <w:rPr>
          <w:rtl/>
        </w:rPr>
      </w:pPr>
    </w:p>
    <w:p w14:paraId="315EB052" w14:textId="47F5B719" w:rsidR="00245786" w:rsidRDefault="006743D5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>1.</w:t>
      </w:r>
      <w:r w:rsidR="004F061A">
        <w:rPr>
          <w:rFonts w:hint="cs"/>
          <w:rtl/>
        </w:rPr>
        <w:t xml:space="preserve"> </w:t>
      </w:r>
    </w:p>
    <w:p w14:paraId="189F18A7" w14:textId="77777777" w:rsidR="00245786" w:rsidRPr="00AF521F" w:rsidRDefault="00245786" w:rsidP="006743D5">
      <w:pPr>
        <w:spacing w:line="360" w:lineRule="auto"/>
        <w:jc w:val="both"/>
        <w:rPr>
          <w:b w:val="0"/>
          <w:bCs/>
          <w:sz w:val="24"/>
          <w:szCs w:val="28"/>
          <w:u w:val="single"/>
          <w:rtl/>
        </w:rPr>
      </w:pPr>
      <w:r w:rsidRPr="00AF521F">
        <w:rPr>
          <w:rFonts w:hint="cs"/>
          <w:b w:val="0"/>
          <w:bCs/>
          <w:sz w:val="24"/>
          <w:szCs w:val="28"/>
          <w:u w:val="single"/>
          <w:rtl/>
        </w:rPr>
        <w:t xml:space="preserve">תמ"א/19 </w:t>
      </w:r>
      <w:r w:rsidRPr="00AF521F">
        <w:rPr>
          <w:b w:val="0"/>
          <w:bCs/>
          <w:sz w:val="24"/>
          <w:szCs w:val="28"/>
          <w:u w:val="single"/>
          <w:rtl/>
        </w:rPr>
        <w:t>–</w:t>
      </w:r>
      <w:r w:rsidRPr="00AF521F">
        <w:rPr>
          <w:rFonts w:hint="cs"/>
          <w:b w:val="0"/>
          <w:bCs/>
          <w:sz w:val="24"/>
          <w:szCs w:val="28"/>
          <w:u w:val="single"/>
          <w:rtl/>
        </w:rPr>
        <w:t xml:space="preserve"> תכנית מתאר ארצית לבתי עלמין</w:t>
      </w:r>
    </w:p>
    <w:p w14:paraId="2A81707F" w14:textId="77777777" w:rsidR="0011559A" w:rsidRDefault="00DF0E14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תכנית מתאר ארצית מס' 19 (תמ"א/19) עוסקת בבתי </w:t>
      </w:r>
      <w:r w:rsidR="0011559A">
        <w:rPr>
          <w:rFonts w:hint="cs"/>
          <w:rtl/>
        </w:rPr>
        <w:t>עלמין</w:t>
      </w:r>
      <w:r>
        <w:rPr>
          <w:rFonts w:hint="cs"/>
          <w:rtl/>
        </w:rPr>
        <w:t xml:space="preserve"> ברמה הארצית. מטרתה ל</w:t>
      </w:r>
      <w:r w:rsidR="0011559A">
        <w:rPr>
          <w:rFonts w:hint="cs"/>
          <w:rtl/>
        </w:rPr>
        <w:t xml:space="preserve">קבוע את הקריטריונים לייעוד שטחים לצרכי בתי עלמין ואת הנהלים להקמת בתי עלמין, ולאתר שטחים לבתי עלמין באזורים </w:t>
      </w:r>
      <w:proofErr w:type="spellStart"/>
      <w:r w:rsidR="0011559A">
        <w:rPr>
          <w:rFonts w:hint="cs"/>
          <w:rtl/>
        </w:rPr>
        <w:t>מטרופוליניים</w:t>
      </w:r>
      <w:proofErr w:type="spellEnd"/>
      <w:r w:rsidR="0011559A">
        <w:rPr>
          <w:rFonts w:hint="cs"/>
          <w:rtl/>
        </w:rPr>
        <w:t xml:space="preserve">  המיועדים לשרת מספר ישובים.</w:t>
      </w:r>
    </w:p>
    <w:p w14:paraId="42C589F5" w14:textId="77777777" w:rsidR="00AF521F" w:rsidRDefault="00AF521F" w:rsidP="006743D5">
      <w:pPr>
        <w:spacing w:line="360" w:lineRule="auto"/>
        <w:jc w:val="both"/>
        <w:rPr>
          <w:rtl/>
        </w:rPr>
      </w:pPr>
    </w:p>
    <w:p w14:paraId="2F4A6355" w14:textId="77777777" w:rsidR="00DF0E14" w:rsidRDefault="00DF0E14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לאור המעמד הסטטוטורי של תמ"א/19 בראש הפירמידה של מדרג </w:t>
      </w:r>
      <w:proofErr w:type="spellStart"/>
      <w:r>
        <w:rPr>
          <w:rFonts w:hint="cs"/>
          <w:rtl/>
        </w:rPr>
        <w:t>התכניות</w:t>
      </w:r>
      <w:proofErr w:type="spellEnd"/>
      <w:r>
        <w:rPr>
          <w:rFonts w:hint="cs"/>
          <w:rtl/>
        </w:rPr>
        <w:t xml:space="preserve"> עפ"י חוק התכנון והבנייה, כל תכנית מתאר מחוזית או מקומית חייבת לכבד את הוראותיה וקביעותיה המרחביות.</w:t>
      </w:r>
    </w:p>
    <w:p w14:paraId="53D179DC" w14:textId="66F69DB9" w:rsidR="00DF0E14" w:rsidRDefault="00DF0E14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>מוצע ליזום הטמעת מיקום בתי הקברות של הישובים העקורים ובתי הקברות ב</w:t>
      </w:r>
      <w:r w:rsidR="006743D5">
        <w:rPr>
          <w:rFonts w:hint="cs"/>
          <w:rtl/>
        </w:rPr>
        <w:t>ערים שהתרוקנו או כמעט התרוקנו מתושביהן הערבים</w:t>
      </w:r>
      <w:r>
        <w:rPr>
          <w:rFonts w:hint="cs"/>
          <w:rtl/>
        </w:rPr>
        <w:t xml:space="preserve"> </w:t>
      </w:r>
      <w:proofErr w:type="spellStart"/>
      <w:r w:rsidR="009876F5">
        <w:rPr>
          <w:rFonts w:hint="cs"/>
          <w:rtl/>
        </w:rPr>
        <w:t>בתשריטי</w:t>
      </w:r>
      <w:proofErr w:type="spellEnd"/>
      <w:r w:rsidR="009876F5">
        <w:rPr>
          <w:rFonts w:hint="cs"/>
          <w:rtl/>
        </w:rPr>
        <w:t xml:space="preserve"> תמ"א/19 ברמת סימבול.</w:t>
      </w:r>
    </w:p>
    <w:p w14:paraId="263CDFCA" w14:textId="77777777" w:rsidR="00AF521F" w:rsidRDefault="00AF521F" w:rsidP="006743D5">
      <w:pPr>
        <w:spacing w:line="360" w:lineRule="auto"/>
        <w:jc w:val="both"/>
        <w:rPr>
          <w:rtl/>
        </w:rPr>
      </w:pPr>
    </w:p>
    <w:p w14:paraId="08620D52" w14:textId="7DD66995" w:rsidR="00DF0E14" w:rsidRDefault="00DF0E14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>כמו</w:t>
      </w:r>
      <w:r w:rsidR="006743D5">
        <w:rPr>
          <w:rFonts w:hint="cs"/>
          <w:rtl/>
        </w:rPr>
        <w:t xml:space="preserve"> </w:t>
      </w:r>
      <w:r>
        <w:rPr>
          <w:rFonts w:hint="cs"/>
          <w:rtl/>
        </w:rPr>
        <w:t>כן, מוצע להוסיף לתקנון של ת</w:t>
      </w:r>
      <w:r w:rsidR="006743D5">
        <w:rPr>
          <w:rFonts w:hint="cs"/>
          <w:rtl/>
        </w:rPr>
        <w:t>ו</w:t>
      </w:r>
      <w:r>
        <w:rPr>
          <w:rFonts w:hint="cs"/>
          <w:rtl/>
        </w:rPr>
        <w:t xml:space="preserve">כנית </w:t>
      </w:r>
      <w:r w:rsidR="006743D5">
        <w:rPr>
          <w:rFonts w:hint="cs"/>
          <w:rtl/>
        </w:rPr>
        <w:t xml:space="preserve">זו </w:t>
      </w:r>
      <w:r>
        <w:rPr>
          <w:rFonts w:hint="cs"/>
          <w:rtl/>
        </w:rPr>
        <w:t>הוראה שמחייבת שמירה על בתי</w:t>
      </w:r>
      <w:r w:rsidR="009876F5">
        <w:rPr>
          <w:rFonts w:hint="cs"/>
          <w:rtl/>
        </w:rPr>
        <w:t xml:space="preserve"> </w:t>
      </w:r>
      <w:r>
        <w:rPr>
          <w:rFonts w:hint="cs"/>
          <w:rtl/>
        </w:rPr>
        <w:t xml:space="preserve">קברות </w:t>
      </w:r>
      <w:r w:rsidR="009876F5">
        <w:rPr>
          <w:rFonts w:hint="cs"/>
          <w:rtl/>
        </w:rPr>
        <w:t xml:space="preserve">אלה </w:t>
      </w:r>
      <w:r>
        <w:rPr>
          <w:rFonts w:hint="cs"/>
          <w:rtl/>
        </w:rPr>
        <w:t xml:space="preserve">ושלמותם </w:t>
      </w:r>
      <w:r w:rsidR="009876F5">
        <w:rPr>
          <w:rFonts w:hint="cs"/>
          <w:rtl/>
        </w:rPr>
        <w:t xml:space="preserve">הפיזית, </w:t>
      </w:r>
      <w:r>
        <w:rPr>
          <w:rFonts w:hint="cs"/>
          <w:rtl/>
        </w:rPr>
        <w:t xml:space="preserve">ואיסור </w:t>
      </w:r>
      <w:r w:rsidR="006743D5">
        <w:rPr>
          <w:rFonts w:hint="cs"/>
          <w:rtl/>
        </w:rPr>
        <w:t>פגיעה בהם</w:t>
      </w:r>
      <w:r>
        <w:rPr>
          <w:rFonts w:hint="cs"/>
          <w:rtl/>
        </w:rPr>
        <w:t xml:space="preserve"> </w:t>
      </w:r>
      <w:r w:rsidR="009876F5">
        <w:rPr>
          <w:rFonts w:hint="cs"/>
          <w:rtl/>
        </w:rPr>
        <w:t xml:space="preserve">וחילולם </w:t>
      </w:r>
      <w:r>
        <w:rPr>
          <w:rFonts w:hint="cs"/>
          <w:rtl/>
        </w:rPr>
        <w:t xml:space="preserve">במסגרת ביצוע עבודות סלילה, בנייה ופיתוח בקרבתם. </w:t>
      </w:r>
    </w:p>
    <w:p w14:paraId="34A5BA76" w14:textId="2044451E" w:rsidR="00F8677F" w:rsidRDefault="006743D5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מוצע במקביל </w:t>
      </w:r>
      <w:r w:rsidR="00DF0E14">
        <w:rPr>
          <w:rFonts w:hint="cs"/>
          <w:rtl/>
        </w:rPr>
        <w:t>להטמיע מנגנון היוועצות של מוסדות התכנון עם</w:t>
      </w:r>
      <w:r w:rsidR="00C75FB7">
        <w:rPr>
          <w:rFonts w:hint="cs"/>
          <w:rtl/>
        </w:rPr>
        <w:t xml:space="preserve"> בתי הדין </w:t>
      </w:r>
      <w:proofErr w:type="spellStart"/>
      <w:r w:rsidR="00C75FB7">
        <w:rPr>
          <w:rFonts w:hint="cs"/>
          <w:rtl/>
        </w:rPr>
        <w:t>השרעיים</w:t>
      </w:r>
      <w:proofErr w:type="spellEnd"/>
      <w:r w:rsidR="00C75FB7">
        <w:rPr>
          <w:rFonts w:hint="cs"/>
          <w:rtl/>
        </w:rPr>
        <w:t xml:space="preserve"> בכל מקרה שבו עלולה להיווצר פגיעה בבית קברות הכלול </w:t>
      </w:r>
      <w:proofErr w:type="spellStart"/>
      <w:r w:rsidR="009876F5">
        <w:rPr>
          <w:rFonts w:hint="cs"/>
          <w:rtl/>
        </w:rPr>
        <w:t>בתשריטי</w:t>
      </w:r>
      <w:proofErr w:type="spellEnd"/>
      <w:r w:rsidR="009876F5">
        <w:rPr>
          <w:rFonts w:hint="cs"/>
          <w:rtl/>
        </w:rPr>
        <w:t xml:space="preserve"> </w:t>
      </w:r>
      <w:r w:rsidR="00C75FB7">
        <w:rPr>
          <w:rFonts w:hint="cs"/>
          <w:rtl/>
        </w:rPr>
        <w:t>תמ"א/19 כתוצאה מת</w:t>
      </w:r>
      <w:r>
        <w:rPr>
          <w:rFonts w:hint="cs"/>
          <w:rtl/>
        </w:rPr>
        <w:t>ו</w:t>
      </w:r>
      <w:r w:rsidR="00C75FB7">
        <w:rPr>
          <w:rFonts w:hint="cs"/>
          <w:rtl/>
        </w:rPr>
        <w:t>כנית בנייה ופיתוח.</w:t>
      </w:r>
      <w:r w:rsidR="00DF0E14">
        <w:rPr>
          <w:rFonts w:hint="cs"/>
          <w:rtl/>
        </w:rPr>
        <w:t xml:space="preserve">    </w:t>
      </w:r>
    </w:p>
    <w:p w14:paraId="54EF1922" w14:textId="77777777" w:rsidR="0011559A" w:rsidRDefault="0011559A" w:rsidP="006743D5">
      <w:pPr>
        <w:spacing w:line="360" w:lineRule="auto"/>
        <w:jc w:val="both"/>
        <w:rPr>
          <w:rtl/>
        </w:rPr>
      </w:pPr>
    </w:p>
    <w:p w14:paraId="73A40624" w14:textId="259D75A9" w:rsidR="0011559A" w:rsidRDefault="006743D5" w:rsidP="006743D5">
      <w:pPr>
        <w:spacing w:line="360" w:lineRule="auto"/>
        <w:jc w:val="both"/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 xml:space="preserve">מוצע עוד </w:t>
      </w:r>
      <w:r w:rsidR="00245786">
        <w:rPr>
          <w:rFonts w:hint="cs"/>
          <w:noProof/>
          <w:rtl/>
          <w:lang w:eastAsia="en-US"/>
        </w:rPr>
        <w:t>להכין רשימה</w:t>
      </w:r>
      <w:r w:rsidR="009D42DF">
        <w:rPr>
          <w:rFonts w:hint="cs"/>
          <w:noProof/>
          <w:rtl/>
          <w:lang w:eastAsia="en-US"/>
        </w:rPr>
        <w:t xml:space="preserve"> </w:t>
      </w:r>
      <w:r w:rsidR="00245786">
        <w:rPr>
          <w:rFonts w:hint="cs"/>
          <w:noProof/>
          <w:rtl/>
          <w:lang w:eastAsia="en-US"/>
        </w:rPr>
        <w:t xml:space="preserve">ותשריט ארצי </w:t>
      </w:r>
      <w:r w:rsidR="00247A6A">
        <w:rPr>
          <w:rFonts w:hint="cs"/>
          <w:noProof/>
          <w:rtl/>
          <w:lang w:eastAsia="en-US"/>
        </w:rPr>
        <w:t xml:space="preserve">ממוחשב </w:t>
      </w:r>
      <w:r w:rsidR="009D42DF">
        <w:rPr>
          <w:rFonts w:hint="cs"/>
          <w:noProof/>
          <w:rtl/>
          <w:lang w:eastAsia="en-US"/>
        </w:rPr>
        <w:t xml:space="preserve">של בתי עלמין (אינוונטר במתכונת שכבת </w:t>
      </w:r>
      <w:r w:rsidR="009D42DF">
        <w:rPr>
          <w:rFonts w:asciiTheme="minorHAnsi" w:hAnsiTheme="minorHAnsi" w:cstheme="minorBidi"/>
          <w:noProof/>
          <w:lang w:eastAsia="en-US"/>
        </w:rPr>
        <w:t>GIS</w:t>
      </w:r>
      <w:r w:rsidR="009D42DF">
        <w:rPr>
          <w:rFonts w:hint="cs"/>
          <w:noProof/>
          <w:rtl/>
          <w:lang w:eastAsia="en-US"/>
        </w:rPr>
        <w:t xml:space="preserve">) שתאפשר למתכננים וליזמים ולמוסדות התכנון לערוך בדיקה </w:t>
      </w:r>
      <w:r w:rsidR="009876F5">
        <w:rPr>
          <w:rFonts w:hint="cs"/>
          <w:noProof/>
          <w:rtl/>
          <w:lang w:eastAsia="en-US"/>
        </w:rPr>
        <w:t>מקדמית בדבר הימצאות בתי עלמי</w:t>
      </w:r>
      <w:r w:rsidR="009D42DF">
        <w:rPr>
          <w:rFonts w:hint="cs"/>
          <w:noProof/>
          <w:rtl/>
          <w:lang w:eastAsia="en-US"/>
        </w:rPr>
        <w:t xml:space="preserve">ן בתחום </w:t>
      </w:r>
      <w:r w:rsidR="009876F5">
        <w:rPr>
          <w:rFonts w:hint="cs"/>
          <w:noProof/>
          <w:rtl/>
          <w:lang w:eastAsia="en-US"/>
        </w:rPr>
        <w:t>תכניות מוצעות</w:t>
      </w:r>
      <w:r w:rsidR="009D42DF">
        <w:rPr>
          <w:rFonts w:hint="cs"/>
          <w:noProof/>
          <w:rtl/>
          <w:lang w:eastAsia="en-US"/>
        </w:rPr>
        <w:t>, ומידת השפעת התכני</w:t>
      </w:r>
      <w:r w:rsidR="009876F5">
        <w:rPr>
          <w:rFonts w:hint="cs"/>
          <w:noProof/>
          <w:rtl/>
          <w:lang w:eastAsia="en-US"/>
        </w:rPr>
        <w:t>ו</w:t>
      </w:r>
      <w:r w:rsidR="009D42DF">
        <w:rPr>
          <w:rFonts w:hint="cs"/>
          <w:noProof/>
          <w:rtl/>
          <w:lang w:eastAsia="en-US"/>
        </w:rPr>
        <w:t xml:space="preserve">ת </w:t>
      </w:r>
      <w:r w:rsidR="00245786">
        <w:rPr>
          <w:rFonts w:hint="cs"/>
          <w:noProof/>
          <w:rtl/>
          <w:lang w:eastAsia="en-US"/>
        </w:rPr>
        <w:t xml:space="preserve">החדשות </w:t>
      </w:r>
      <w:r w:rsidR="009D42DF">
        <w:rPr>
          <w:rFonts w:hint="cs"/>
          <w:noProof/>
          <w:rtl/>
          <w:lang w:eastAsia="en-US"/>
        </w:rPr>
        <w:t>עלי</w:t>
      </w:r>
      <w:r w:rsidR="009876F5">
        <w:rPr>
          <w:rFonts w:hint="cs"/>
          <w:noProof/>
          <w:rtl/>
          <w:lang w:eastAsia="en-US"/>
        </w:rPr>
        <w:t>הם</w:t>
      </w:r>
      <w:r w:rsidR="009D42DF">
        <w:rPr>
          <w:rFonts w:hint="cs"/>
          <w:noProof/>
          <w:rtl/>
          <w:lang w:eastAsia="en-US"/>
        </w:rPr>
        <w:t>, בשלבים מוקדמים של הכנת תכניות.</w:t>
      </w:r>
      <w:r w:rsidR="00247A6A">
        <w:rPr>
          <w:rFonts w:hint="cs"/>
          <w:noProof/>
          <w:rtl/>
          <w:lang w:eastAsia="en-US"/>
        </w:rPr>
        <w:t xml:space="preserve"> הרשימה תימסר לשימוש כל מוסדות התכנון במדינה החל במועצה הארצית לתכנון ולבנייה עבור בועדות המחוזיות וכלה בועדות המקומיות.</w:t>
      </w:r>
    </w:p>
    <w:p w14:paraId="08699754" w14:textId="11C5AFCB" w:rsidR="006743D5" w:rsidRDefault="006743D5" w:rsidP="006743D5">
      <w:pPr>
        <w:spacing w:line="360" w:lineRule="auto"/>
        <w:jc w:val="both"/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קיים מאגר מידע/ מאגרי מידע ביחס לכך ואפשר להזין אותם אך יש לפעול כל העת להשלימם.</w:t>
      </w:r>
      <w:r w:rsidR="00FE6087">
        <w:rPr>
          <w:rFonts w:hint="cs"/>
          <w:noProof/>
          <w:rtl/>
          <w:lang w:eastAsia="en-US"/>
        </w:rPr>
        <w:t xml:space="preserve"> </w:t>
      </w:r>
    </w:p>
    <w:p w14:paraId="768C7648" w14:textId="33168E4E" w:rsidR="00A54303" w:rsidRDefault="00A54303" w:rsidP="006743D5">
      <w:pPr>
        <w:spacing w:line="360" w:lineRule="auto"/>
        <w:jc w:val="both"/>
        <w:rPr>
          <w:noProof/>
          <w:rtl/>
          <w:lang w:eastAsia="en-US"/>
        </w:rPr>
      </w:pPr>
    </w:p>
    <w:p w14:paraId="035E0355" w14:textId="032AC94E" w:rsidR="006743D5" w:rsidRDefault="006743D5" w:rsidP="006743D5">
      <w:pPr>
        <w:spacing w:line="360" w:lineRule="auto"/>
        <w:jc w:val="both"/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2.</w:t>
      </w:r>
    </w:p>
    <w:p w14:paraId="05A294E2" w14:textId="77777777" w:rsidR="00A54303" w:rsidRPr="00245786" w:rsidRDefault="00A54303" w:rsidP="006743D5">
      <w:pPr>
        <w:spacing w:line="360" w:lineRule="auto"/>
        <w:jc w:val="both"/>
        <w:rPr>
          <w:b w:val="0"/>
          <w:bCs/>
          <w:sz w:val="24"/>
          <w:szCs w:val="28"/>
          <w:u w:val="single"/>
          <w:rtl/>
        </w:rPr>
      </w:pPr>
      <w:r w:rsidRPr="00245786">
        <w:rPr>
          <w:rFonts w:hint="cs"/>
          <w:b w:val="0"/>
          <w:bCs/>
          <w:sz w:val="24"/>
          <w:szCs w:val="28"/>
          <w:u w:val="single"/>
          <w:rtl/>
        </w:rPr>
        <w:t>תמ"א/35</w:t>
      </w:r>
    </w:p>
    <w:p w14:paraId="493644CB" w14:textId="77777777" w:rsidR="00AF521F" w:rsidRDefault="00AF521F" w:rsidP="006743D5">
      <w:pPr>
        <w:spacing w:line="360" w:lineRule="auto"/>
        <w:jc w:val="both"/>
        <w:rPr>
          <w:rFonts w:ascii="David" w:hAnsi="David"/>
          <w:sz w:val="24"/>
          <w:rtl/>
        </w:rPr>
      </w:pPr>
    </w:p>
    <w:p w14:paraId="41F9FD68" w14:textId="24B7AA0A" w:rsidR="00A54303" w:rsidRPr="009876F5" w:rsidRDefault="00A54303" w:rsidP="006743D5">
      <w:pPr>
        <w:spacing w:line="360" w:lineRule="auto"/>
        <w:jc w:val="both"/>
        <w:rPr>
          <w:rFonts w:ascii="David" w:hAnsi="David"/>
          <w:sz w:val="24"/>
          <w:rtl/>
        </w:rPr>
      </w:pPr>
      <w:r w:rsidRPr="009876F5">
        <w:rPr>
          <w:rFonts w:ascii="David" w:hAnsi="David"/>
          <w:sz w:val="24"/>
          <w:rtl/>
        </w:rPr>
        <w:t>סעיף 5.9 בהוראות ת</w:t>
      </w:r>
      <w:r w:rsidR="006743D5">
        <w:rPr>
          <w:rFonts w:ascii="David" w:hAnsi="David" w:hint="cs"/>
          <w:sz w:val="24"/>
          <w:rtl/>
        </w:rPr>
        <w:t>ו</w:t>
      </w:r>
      <w:r w:rsidRPr="009876F5">
        <w:rPr>
          <w:rFonts w:ascii="David" w:hAnsi="David"/>
          <w:sz w:val="24"/>
          <w:rtl/>
        </w:rPr>
        <w:t>כנית</w:t>
      </w:r>
      <w:r w:rsidR="009876F5" w:rsidRPr="009876F5">
        <w:rPr>
          <w:rFonts w:ascii="David" w:hAnsi="David"/>
          <w:sz w:val="24"/>
          <w:rtl/>
        </w:rPr>
        <w:t xml:space="preserve"> </w:t>
      </w:r>
      <w:r w:rsidR="006743D5">
        <w:rPr>
          <w:rFonts w:ascii="David" w:hAnsi="David" w:hint="cs"/>
          <w:sz w:val="24"/>
          <w:rtl/>
        </w:rPr>
        <w:t xml:space="preserve">זו </w:t>
      </w:r>
      <w:r w:rsidR="009876F5" w:rsidRPr="009876F5">
        <w:rPr>
          <w:rFonts w:ascii="David" w:hAnsi="David"/>
          <w:sz w:val="24"/>
          <w:rtl/>
        </w:rPr>
        <w:t>קובע</w:t>
      </w:r>
      <w:r w:rsidR="006743D5">
        <w:rPr>
          <w:rFonts w:ascii="David" w:hAnsi="David" w:hint="cs"/>
          <w:sz w:val="24"/>
          <w:rtl/>
        </w:rPr>
        <w:t>,</w:t>
      </w:r>
      <w:r w:rsidR="009876F5" w:rsidRPr="009876F5">
        <w:rPr>
          <w:rFonts w:ascii="David" w:hAnsi="David"/>
          <w:sz w:val="24"/>
          <w:rtl/>
        </w:rPr>
        <w:t xml:space="preserve"> ש</w:t>
      </w:r>
      <w:r w:rsidRPr="009876F5">
        <w:rPr>
          <w:rFonts w:ascii="David" w:hAnsi="David"/>
          <w:sz w:val="24"/>
          <w:rtl/>
        </w:rPr>
        <w:t xml:space="preserve">באזורים המסומנים </w:t>
      </w:r>
      <w:r w:rsidR="006743D5">
        <w:rPr>
          <w:rFonts w:ascii="David" w:hAnsi="David" w:hint="cs"/>
          <w:sz w:val="24"/>
          <w:rtl/>
        </w:rPr>
        <w:t>"</w:t>
      </w:r>
      <w:r w:rsidRPr="009876F5">
        <w:rPr>
          <w:rFonts w:ascii="David" w:hAnsi="David"/>
          <w:sz w:val="24"/>
          <w:rtl/>
        </w:rPr>
        <w:t>כמכלולים</w:t>
      </w:r>
      <w:r w:rsidR="009876F5" w:rsidRPr="009876F5">
        <w:rPr>
          <w:rFonts w:ascii="David" w:hAnsi="David"/>
          <w:sz w:val="24"/>
          <w:rtl/>
        </w:rPr>
        <w:t xml:space="preserve"> לשימור</w:t>
      </w:r>
      <w:r w:rsidR="006743D5">
        <w:rPr>
          <w:rFonts w:ascii="David" w:hAnsi="David" w:hint="cs"/>
          <w:sz w:val="24"/>
          <w:rtl/>
        </w:rPr>
        <w:t>"</w:t>
      </w:r>
      <w:r w:rsidR="009876F5" w:rsidRPr="009876F5">
        <w:rPr>
          <w:rFonts w:ascii="David" w:hAnsi="David"/>
          <w:sz w:val="24"/>
          <w:rtl/>
        </w:rPr>
        <w:t xml:space="preserve"> תוכן תכנית מקומית לשימור. </w:t>
      </w:r>
      <w:proofErr w:type="spellStart"/>
      <w:r w:rsidRPr="009876F5">
        <w:rPr>
          <w:rFonts w:ascii="David" w:hAnsi="David"/>
          <w:sz w:val="24"/>
          <w:rtl/>
        </w:rPr>
        <w:t>בתכנית</w:t>
      </w:r>
      <w:proofErr w:type="spellEnd"/>
      <w:r w:rsidRPr="009876F5">
        <w:rPr>
          <w:rFonts w:ascii="David" w:hAnsi="David"/>
          <w:sz w:val="24"/>
          <w:rtl/>
        </w:rPr>
        <w:t xml:space="preserve"> מקומית לשימור יקבעו האתרים הראויים לשימור וגבולותיהם, הוראות בדבר אופיו של האתר, שיקום</w:t>
      </w:r>
      <w:r w:rsidR="006743D5">
        <w:rPr>
          <w:rFonts w:ascii="David" w:hAnsi="David" w:hint="cs"/>
          <w:sz w:val="24"/>
          <w:rtl/>
        </w:rPr>
        <w:t xml:space="preserve"> האתר</w:t>
      </w:r>
      <w:r w:rsidRPr="009876F5">
        <w:rPr>
          <w:rFonts w:ascii="David" w:hAnsi="David"/>
          <w:sz w:val="24"/>
          <w:rtl/>
        </w:rPr>
        <w:t xml:space="preserve"> ומניעת פגיעה בערכים אותם הוא מבטא</w:t>
      </w:r>
      <w:r w:rsidR="009876F5">
        <w:rPr>
          <w:rFonts w:ascii="David" w:hAnsi="David" w:hint="cs"/>
          <w:sz w:val="24"/>
          <w:rtl/>
        </w:rPr>
        <w:t>.</w:t>
      </w:r>
    </w:p>
    <w:p w14:paraId="2E7B5A92" w14:textId="7936F7FA" w:rsidR="009D42DF" w:rsidRDefault="009D42DF" w:rsidP="006743D5">
      <w:pPr>
        <w:spacing w:line="360" w:lineRule="auto"/>
        <w:jc w:val="both"/>
        <w:rPr>
          <w:rFonts w:ascii="David" w:hAnsi="David"/>
          <w:sz w:val="24"/>
          <w:rtl/>
        </w:rPr>
      </w:pPr>
    </w:p>
    <w:p w14:paraId="4CD423B6" w14:textId="7B4F4077" w:rsidR="00FE6087" w:rsidRPr="009876F5" w:rsidRDefault="00FE6087" w:rsidP="006743D5">
      <w:pPr>
        <w:spacing w:line="360" w:lineRule="auto"/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3.</w:t>
      </w:r>
    </w:p>
    <w:p w14:paraId="4D4E5A12" w14:textId="77777777" w:rsidR="00247A6A" w:rsidRPr="00245786" w:rsidRDefault="00247A6A" w:rsidP="006743D5">
      <w:pPr>
        <w:spacing w:line="360" w:lineRule="auto"/>
        <w:jc w:val="both"/>
        <w:rPr>
          <w:b w:val="0"/>
          <w:bCs/>
          <w:sz w:val="24"/>
          <w:szCs w:val="28"/>
          <w:u w:val="single"/>
          <w:rtl/>
        </w:rPr>
      </w:pPr>
      <w:r w:rsidRPr="00245786">
        <w:rPr>
          <w:rFonts w:hint="cs"/>
          <w:b w:val="0"/>
          <w:bCs/>
          <w:sz w:val="24"/>
          <w:szCs w:val="28"/>
          <w:u w:val="single"/>
          <w:rtl/>
        </w:rPr>
        <w:t>חוק התכנון והבנייה, התשכ"ה-1965</w:t>
      </w:r>
    </w:p>
    <w:p w14:paraId="51E245DF" w14:textId="77777777" w:rsidR="00AF521F" w:rsidRDefault="00AF521F" w:rsidP="006743D5">
      <w:pPr>
        <w:spacing w:line="360" w:lineRule="auto"/>
        <w:jc w:val="both"/>
        <w:rPr>
          <w:rtl/>
        </w:rPr>
      </w:pPr>
    </w:p>
    <w:p w14:paraId="709F53FA" w14:textId="56104D62" w:rsidR="00247A6A" w:rsidRDefault="009D42DF" w:rsidP="006743D5">
      <w:pPr>
        <w:spacing w:line="360" w:lineRule="auto"/>
        <w:jc w:val="both"/>
        <w:rPr>
          <w:rtl/>
        </w:rPr>
      </w:pPr>
      <w:r>
        <w:rPr>
          <w:rtl/>
        </w:rPr>
        <w:t>התוספת הרביעית לחוק התכנון והבניה</w:t>
      </w:r>
      <w:r w:rsidR="00247A6A">
        <w:rPr>
          <w:rFonts w:hint="cs"/>
          <w:rtl/>
        </w:rPr>
        <w:t xml:space="preserve"> משנת </w:t>
      </w:r>
      <w:r>
        <w:rPr>
          <w:rtl/>
        </w:rPr>
        <w:t xml:space="preserve">1991 </w:t>
      </w:r>
      <w:r w:rsidR="00247A6A">
        <w:rPr>
          <w:rFonts w:hint="cs"/>
          <w:rtl/>
        </w:rPr>
        <w:t>מאפשרת</w:t>
      </w:r>
      <w:r>
        <w:t xml:space="preserve"> </w:t>
      </w:r>
      <w:r>
        <w:rPr>
          <w:rtl/>
        </w:rPr>
        <w:t>להעניק כלים חקיקתיים טובים ויעילים לצורך שימור מבנים ואתרים</w:t>
      </w:r>
      <w:r w:rsidR="00247A6A">
        <w:rPr>
          <w:rFonts w:hint="cs"/>
          <w:rtl/>
        </w:rPr>
        <w:t>.</w:t>
      </w:r>
      <w:r>
        <w:t xml:space="preserve"> </w:t>
      </w:r>
      <w:r>
        <w:rPr>
          <w:rtl/>
        </w:rPr>
        <w:t xml:space="preserve">ועדה מקומית או </w:t>
      </w:r>
      <w:r w:rsidR="00FE6087">
        <w:rPr>
          <w:rFonts w:hint="cs"/>
          <w:rtl/>
        </w:rPr>
        <w:t>"</w:t>
      </w:r>
      <w:r>
        <w:rPr>
          <w:rtl/>
        </w:rPr>
        <w:t>מעוניין</w:t>
      </w:r>
      <w:r w:rsidR="00FE6087">
        <w:rPr>
          <w:rFonts w:hint="cs"/>
          <w:rtl/>
        </w:rPr>
        <w:t>"</w:t>
      </w:r>
      <w:r>
        <w:rPr>
          <w:rtl/>
        </w:rPr>
        <w:t xml:space="preserve"> רשאים להגיש תכנית לשימור אתרים שדינה כדין תכנית מתאר מקומית</w:t>
      </w:r>
      <w:r w:rsidR="00247A6A">
        <w:rPr>
          <w:rFonts w:hint="cs"/>
          <w:rtl/>
        </w:rPr>
        <w:t>.</w:t>
      </w:r>
    </w:p>
    <w:p w14:paraId="4A758A62" w14:textId="77777777" w:rsidR="00FE6087" w:rsidRDefault="00FE6087" w:rsidP="006743D5">
      <w:pPr>
        <w:spacing w:line="360" w:lineRule="auto"/>
        <w:jc w:val="both"/>
        <w:rPr>
          <w:rtl/>
        </w:rPr>
      </w:pPr>
    </w:p>
    <w:p w14:paraId="2B65811A" w14:textId="3DDC3D02" w:rsidR="00247A6A" w:rsidRDefault="00FE6087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>4.</w:t>
      </w:r>
    </w:p>
    <w:p w14:paraId="70168FD8" w14:textId="77777777" w:rsidR="00247A6A" w:rsidRPr="00245786" w:rsidRDefault="00247A6A" w:rsidP="006743D5">
      <w:pPr>
        <w:spacing w:line="360" w:lineRule="auto"/>
        <w:jc w:val="both"/>
        <w:rPr>
          <w:rFonts w:hint="cs"/>
          <w:b w:val="0"/>
          <w:bCs/>
          <w:sz w:val="24"/>
          <w:szCs w:val="28"/>
          <w:u w:val="single"/>
          <w:rtl/>
        </w:rPr>
      </w:pPr>
      <w:proofErr w:type="spellStart"/>
      <w:r w:rsidRPr="00245786">
        <w:rPr>
          <w:rFonts w:hint="cs"/>
          <w:b w:val="0"/>
          <w:bCs/>
          <w:sz w:val="24"/>
          <w:szCs w:val="28"/>
          <w:u w:val="single"/>
          <w:rtl/>
        </w:rPr>
        <w:t>תכניות</w:t>
      </w:r>
      <w:proofErr w:type="spellEnd"/>
      <w:r w:rsidRPr="00245786">
        <w:rPr>
          <w:rFonts w:hint="cs"/>
          <w:b w:val="0"/>
          <w:bCs/>
          <w:sz w:val="24"/>
          <w:szCs w:val="28"/>
          <w:u w:val="single"/>
          <w:rtl/>
        </w:rPr>
        <w:t xml:space="preserve"> מתאר מחוזיות </w:t>
      </w:r>
      <w:r w:rsidRPr="00245786">
        <w:rPr>
          <w:b w:val="0"/>
          <w:bCs/>
          <w:sz w:val="24"/>
          <w:szCs w:val="28"/>
          <w:u w:val="single"/>
          <w:rtl/>
        </w:rPr>
        <w:t>–</w:t>
      </w:r>
      <w:r w:rsidRPr="00245786">
        <w:rPr>
          <w:rFonts w:hint="cs"/>
          <w:b w:val="0"/>
          <w:bCs/>
          <w:sz w:val="24"/>
          <w:szCs w:val="28"/>
          <w:u w:val="single"/>
          <w:rtl/>
        </w:rPr>
        <w:t xml:space="preserve"> </w:t>
      </w:r>
      <w:proofErr w:type="spellStart"/>
      <w:r w:rsidRPr="00245786">
        <w:rPr>
          <w:rFonts w:hint="cs"/>
          <w:b w:val="0"/>
          <w:bCs/>
          <w:sz w:val="24"/>
          <w:szCs w:val="28"/>
          <w:u w:val="single"/>
          <w:rtl/>
        </w:rPr>
        <w:t>תמ"מ</w:t>
      </w:r>
      <w:proofErr w:type="spellEnd"/>
      <w:r w:rsidRPr="00245786">
        <w:rPr>
          <w:rFonts w:hint="cs"/>
          <w:b w:val="0"/>
          <w:bCs/>
          <w:sz w:val="24"/>
          <w:szCs w:val="28"/>
          <w:u w:val="single"/>
          <w:rtl/>
        </w:rPr>
        <w:t>/9/2 כדוגמא (מחוז צפון)</w:t>
      </w:r>
    </w:p>
    <w:p w14:paraId="2C9943A9" w14:textId="77777777" w:rsidR="00AF521F" w:rsidRDefault="00AF521F" w:rsidP="006743D5">
      <w:pPr>
        <w:spacing w:line="360" w:lineRule="auto"/>
        <w:jc w:val="both"/>
        <w:rPr>
          <w:rtl/>
        </w:rPr>
      </w:pPr>
    </w:p>
    <w:p w14:paraId="0EC57D58" w14:textId="77777777" w:rsidR="00245786" w:rsidRDefault="00245786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להלן התייחסות תכנית מתאר מחוזית מחוז צפון לאפשרויות הפעולה למתן הגנה לבתי עלמין </w:t>
      </w:r>
      <w:r w:rsidR="006F71DA">
        <w:rPr>
          <w:rFonts w:hint="cs"/>
          <w:rtl/>
        </w:rPr>
        <w:t xml:space="preserve">ולאתרי מורשת </w:t>
      </w:r>
      <w:r>
        <w:rPr>
          <w:rFonts w:hint="cs"/>
          <w:rtl/>
        </w:rPr>
        <w:t>ע"י הגשת תכנית לשימור עפ"י התוספת הרביעית לחוק התכנון והבנייה לוועדה המקומית הרלוונטית.</w:t>
      </w:r>
    </w:p>
    <w:p w14:paraId="49664F5E" w14:textId="77777777" w:rsidR="00F442EF" w:rsidRDefault="00F442EF" w:rsidP="006743D5">
      <w:pPr>
        <w:spacing w:line="360" w:lineRule="auto"/>
        <w:jc w:val="both"/>
        <w:rPr>
          <w:rtl/>
        </w:rPr>
      </w:pPr>
      <w:r>
        <w:rPr>
          <w:noProof/>
          <w:lang w:eastAsia="en-US"/>
        </w:rPr>
        <w:drawing>
          <wp:inline distT="0" distB="0" distL="0" distR="0" wp14:anchorId="44506567" wp14:editId="5B4EF8C2">
            <wp:extent cx="5274310" cy="389191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F9E0A" w14:textId="451D454D" w:rsidR="00D45010" w:rsidRDefault="00D45010" w:rsidP="006743D5">
      <w:pPr>
        <w:spacing w:line="360" w:lineRule="auto"/>
        <w:jc w:val="both"/>
        <w:rPr>
          <w:rtl/>
        </w:rPr>
      </w:pPr>
    </w:p>
    <w:p w14:paraId="0EF87112" w14:textId="329525A8" w:rsidR="00FE6087" w:rsidRDefault="00FE6087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>5.</w:t>
      </w:r>
    </w:p>
    <w:p w14:paraId="0D5EDE1F" w14:textId="77777777" w:rsidR="001D33CD" w:rsidRPr="006F71DA" w:rsidRDefault="006F71DA" w:rsidP="006743D5">
      <w:pPr>
        <w:spacing w:line="360" w:lineRule="auto"/>
        <w:jc w:val="both"/>
        <w:rPr>
          <w:b w:val="0"/>
          <w:bCs/>
          <w:sz w:val="24"/>
          <w:szCs w:val="28"/>
          <w:u w:val="single"/>
          <w:rtl/>
        </w:rPr>
      </w:pPr>
      <w:r>
        <w:rPr>
          <w:rFonts w:hint="cs"/>
          <w:b w:val="0"/>
          <w:bCs/>
          <w:sz w:val="24"/>
          <w:szCs w:val="28"/>
          <w:u w:val="single"/>
          <w:rtl/>
        </w:rPr>
        <w:t>חקיקה ל</w:t>
      </w:r>
      <w:r w:rsidR="00AF521F" w:rsidRPr="006F71DA">
        <w:rPr>
          <w:rFonts w:hint="cs"/>
          <w:b w:val="0"/>
          <w:bCs/>
          <w:sz w:val="24"/>
          <w:szCs w:val="28"/>
          <w:u w:val="single"/>
          <w:rtl/>
        </w:rPr>
        <w:t xml:space="preserve">איסור החכרת קרקע </w:t>
      </w:r>
      <w:r w:rsidR="001D33CD" w:rsidRPr="006F71DA">
        <w:rPr>
          <w:rFonts w:hint="cs"/>
          <w:b w:val="0"/>
          <w:bCs/>
          <w:sz w:val="24"/>
          <w:szCs w:val="28"/>
          <w:u w:val="single"/>
          <w:rtl/>
        </w:rPr>
        <w:t xml:space="preserve">של בית קברות </w:t>
      </w:r>
      <w:r w:rsidR="00AF521F" w:rsidRPr="006F71DA">
        <w:rPr>
          <w:rFonts w:hint="cs"/>
          <w:b w:val="0"/>
          <w:bCs/>
          <w:sz w:val="24"/>
          <w:szCs w:val="28"/>
          <w:u w:val="single"/>
          <w:rtl/>
        </w:rPr>
        <w:t>למרעה</w:t>
      </w:r>
    </w:p>
    <w:p w14:paraId="0B7C01BD" w14:textId="77777777" w:rsidR="001D33CD" w:rsidRDefault="001D33CD" w:rsidP="006743D5">
      <w:pPr>
        <w:spacing w:line="360" w:lineRule="auto"/>
        <w:jc w:val="both"/>
        <w:rPr>
          <w:rtl/>
        </w:rPr>
      </w:pPr>
    </w:p>
    <w:p w14:paraId="2F5B6529" w14:textId="1ED2599A" w:rsidR="00D45010" w:rsidRDefault="003E5D50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>רשות מקרקעי ישראל נוהגת להחכיר</w:t>
      </w:r>
      <w:r w:rsidR="001D33CD">
        <w:rPr>
          <w:rFonts w:hint="cs"/>
          <w:rtl/>
        </w:rPr>
        <w:t xml:space="preserve"> </w:t>
      </w:r>
      <w:r w:rsidR="00D45010">
        <w:rPr>
          <w:rFonts w:hint="cs"/>
          <w:rtl/>
        </w:rPr>
        <w:t xml:space="preserve">שטחי מרעה לישובים חקלאיים ולמגדלי בעלי חיים. לעתים קרובות שטחי המרעה נמצאים בתחום אדמות ישובים עקורים שבהם </w:t>
      </w:r>
      <w:r w:rsidR="001D33CD">
        <w:rPr>
          <w:rFonts w:hint="cs"/>
          <w:rtl/>
        </w:rPr>
        <w:t>נמצא</w:t>
      </w:r>
      <w:r w:rsidR="00D45010">
        <w:rPr>
          <w:rFonts w:hint="cs"/>
          <w:rtl/>
        </w:rPr>
        <w:t>ים בתי קברות ששימשו את הישובים. בעלי החיים גורמים לחילול ולהשחתת בתי הקברות וממלאים את שטחם בזבל ו</w:t>
      </w:r>
      <w:r w:rsidR="00FE6087">
        <w:rPr>
          <w:rFonts w:hint="cs"/>
          <w:rtl/>
        </w:rPr>
        <w:t>ב</w:t>
      </w:r>
      <w:r w:rsidR="00D45010">
        <w:rPr>
          <w:rFonts w:hint="cs"/>
          <w:rtl/>
        </w:rPr>
        <w:t>הפרשות.</w:t>
      </w:r>
    </w:p>
    <w:p w14:paraId="6044A3E5" w14:textId="49E72403" w:rsidR="00AF521F" w:rsidRDefault="00D45010" w:rsidP="006743D5">
      <w:pPr>
        <w:spacing w:line="360" w:lineRule="auto"/>
        <w:jc w:val="both"/>
        <w:rPr>
          <w:rtl/>
        </w:rPr>
      </w:pPr>
      <w:r>
        <w:rPr>
          <w:rFonts w:hint="cs"/>
          <w:rtl/>
        </w:rPr>
        <w:t>צריך לפעול</w:t>
      </w:r>
      <w:r w:rsidR="00FE6087">
        <w:rPr>
          <w:rFonts w:hint="cs"/>
          <w:rtl/>
        </w:rPr>
        <w:t xml:space="preserve"> לקבלת ה</w:t>
      </w:r>
      <w:bookmarkStart w:id="0" w:name="_GoBack"/>
      <w:bookmarkEnd w:id="0"/>
      <w:r w:rsidR="00FE6087">
        <w:rPr>
          <w:rFonts w:hint="cs"/>
          <w:rtl/>
        </w:rPr>
        <w:t>חלטה</w:t>
      </w:r>
      <w:r w:rsidR="00A413B4">
        <w:rPr>
          <w:rFonts w:hint="cs"/>
          <w:rtl/>
        </w:rPr>
        <w:t xml:space="preserve"> של מועצת רשות מקרקעי ישראל</w:t>
      </w:r>
      <w:r w:rsidR="00FE6087">
        <w:rPr>
          <w:rFonts w:hint="cs"/>
          <w:rtl/>
        </w:rPr>
        <w:t>, ולחלופין</w:t>
      </w:r>
      <w:r>
        <w:rPr>
          <w:rFonts w:hint="cs"/>
          <w:rtl/>
        </w:rPr>
        <w:t xml:space="preserve"> חקיקה</w:t>
      </w:r>
      <w:r w:rsidR="00FE6087">
        <w:rPr>
          <w:rFonts w:hint="cs"/>
          <w:rtl/>
        </w:rPr>
        <w:t>,</w:t>
      </w:r>
      <w:r>
        <w:rPr>
          <w:rFonts w:hint="cs"/>
          <w:rtl/>
        </w:rPr>
        <w:t xml:space="preserve"> שתאסור על רשות מקרקעי ישראל (</w:t>
      </w:r>
      <w:proofErr w:type="spellStart"/>
      <w:r>
        <w:rPr>
          <w:rFonts w:hint="cs"/>
          <w:rtl/>
        </w:rPr>
        <w:t>רמ"י</w:t>
      </w:r>
      <w:proofErr w:type="spellEnd"/>
      <w:r>
        <w:rPr>
          <w:rFonts w:hint="cs"/>
          <w:rtl/>
        </w:rPr>
        <w:t>) להחכיר קרקע למרעה שנמצא בה בית קברות</w:t>
      </w:r>
      <w:r w:rsidR="00A413B4">
        <w:rPr>
          <w:rFonts w:hint="cs"/>
          <w:rtl/>
        </w:rPr>
        <w:t>;</w:t>
      </w:r>
      <w:r>
        <w:rPr>
          <w:rFonts w:hint="cs"/>
          <w:rtl/>
        </w:rPr>
        <w:t xml:space="preserve"> ולמצער לגדר את בית הקברות ולמנוע את חילולו והשחתתו, ולשמור על ניקיון ושלמות בית הקברות. </w:t>
      </w:r>
    </w:p>
    <w:p w14:paraId="0B793E2D" w14:textId="77777777" w:rsidR="00FE6087" w:rsidRDefault="00FE6087" w:rsidP="006743D5">
      <w:pPr>
        <w:spacing w:line="360" w:lineRule="auto"/>
        <w:jc w:val="both"/>
      </w:pPr>
    </w:p>
    <w:sectPr w:rsidR="00FE6087" w:rsidSect="00095D35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1BB9" w14:textId="77777777" w:rsidR="00826265" w:rsidRDefault="00826265" w:rsidP="00A413B4">
      <w:r>
        <w:separator/>
      </w:r>
    </w:p>
  </w:endnote>
  <w:endnote w:type="continuationSeparator" w:id="0">
    <w:p w14:paraId="5A88985D" w14:textId="77777777" w:rsidR="00826265" w:rsidRDefault="00826265" w:rsidP="00A4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Hadassah">
    <w:altName w:val="Arial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50361188"/>
      <w:docPartObj>
        <w:docPartGallery w:val="Page Numbers (Bottom of Page)"/>
        <w:docPartUnique/>
      </w:docPartObj>
    </w:sdtPr>
    <w:sdtContent>
      <w:p w14:paraId="33445856" w14:textId="1EFCA7A3" w:rsidR="00A413B4" w:rsidRDefault="00A41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57C3B" w14:textId="77777777" w:rsidR="00A413B4" w:rsidRDefault="00A41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3858" w14:textId="77777777" w:rsidR="00826265" w:rsidRDefault="00826265" w:rsidP="00A413B4">
      <w:r>
        <w:separator/>
      </w:r>
    </w:p>
  </w:footnote>
  <w:footnote w:type="continuationSeparator" w:id="0">
    <w:p w14:paraId="370411B1" w14:textId="77777777" w:rsidR="00826265" w:rsidRDefault="00826265" w:rsidP="00A4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E6DBC"/>
    <w:multiLevelType w:val="hybridMultilevel"/>
    <w:tmpl w:val="5CE2E722"/>
    <w:lvl w:ilvl="0" w:tplc="E8E407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5478"/>
    <w:multiLevelType w:val="multilevel"/>
    <w:tmpl w:val="6F8E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CF47F2"/>
    <w:multiLevelType w:val="multilevel"/>
    <w:tmpl w:val="29ECCCD6"/>
    <w:lvl w:ilvl="0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445" w:hanging="10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1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14"/>
    <w:rsid w:val="00095D35"/>
    <w:rsid w:val="0011559A"/>
    <w:rsid w:val="001D33CD"/>
    <w:rsid w:val="00245786"/>
    <w:rsid w:val="00247A6A"/>
    <w:rsid w:val="002F39B0"/>
    <w:rsid w:val="00347E9D"/>
    <w:rsid w:val="003E5D50"/>
    <w:rsid w:val="004F061A"/>
    <w:rsid w:val="006743D5"/>
    <w:rsid w:val="006F71DA"/>
    <w:rsid w:val="00754AE9"/>
    <w:rsid w:val="00826265"/>
    <w:rsid w:val="009876F5"/>
    <w:rsid w:val="009D42DF"/>
    <w:rsid w:val="00A413B4"/>
    <w:rsid w:val="00A54303"/>
    <w:rsid w:val="00AE5FA3"/>
    <w:rsid w:val="00AF521F"/>
    <w:rsid w:val="00C75FB7"/>
    <w:rsid w:val="00CF7AC4"/>
    <w:rsid w:val="00D45010"/>
    <w:rsid w:val="00DF0E14"/>
    <w:rsid w:val="00E216F3"/>
    <w:rsid w:val="00E915E8"/>
    <w:rsid w:val="00F17FBF"/>
    <w:rsid w:val="00F442EF"/>
    <w:rsid w:val="00F8677F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7EE2"/>
  <w15:chartTrackingRefBased/>
  <w15:docId w15:val="{310A5461-7B25-4503-8528-04FB5D79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7AC4"/>
    <w:pPr>
      <w:widowControl w:val="0"/>
      <w:bidi/>
      <w:spacing w:after="0" w:line="240" w:lineRule="auto"/>
    </w:pPr>
    <w:rPr>
      <w:rFonts w:ascii="Monotype Hadassah" w:hAnsi="Monotype Hadassah" w:cs="David"/>
      <w:b/>
      <w:sz w:val="20"/>
      <w:szCs w:val="24"/>
      <w:lang w:eastAsia="he-I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5FA3"/>
    <w:pPr>
      <w:keepNext/>
      <w:keepLines/>
      <w:widowControl/>
      <w:spacing w:before="320" w:after="40" w:line="252" w:lineRule="auto"/>
      <w:jc w:val="both"/>
      <w:outlineLvl w:val="0"/>
    </w:pPr>
    <w:rPr>
      <w:rFonts w:asciiTheme="majorHAnsi" w:eastAsiaTheme="majorEastAsia" w:hAnsiTheme="majorHAnsi" w:cstheme="minorBidi"/>
      <w:bCs/>
      <w:spacing w:val="4"/>
      <w:sz w:val="28"/>
      <w:szCs w:val="2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5FA3"/>
    <w:pPr>
      <w:keepNext/>
      <w:keepLines/>
      <w:widowControl/>
      <w:spacing w:before="120" w:line="252" w:lineRule="auto"/>
      <w:jc w:val="both"/>
      <w:outlineLvl w:val="1"/>
    </w:pPr>
    <w:rPr>
      <w:rFonts w:asciiTheme="majorHAnsi" w:eastAsiaTheme="majorEastAsia" w:hAnsiTheme="majorHAnsi" w:cstheme="minorBidi"/>
      <w:bCs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FA3"/>
    <w:rPr>
      <w:rFonts w:asciiTheme="majorHAnsi" w:eastAsiaTheme="majorEastAsia" w:hAnsiTheme="majorHAnsi"/>
      <w:b/>
      <w:bCs/>
      <w:spacing w:val="4"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5FA3"/>
    <w:rPr>
      <w:rFonts w:asciiTheme="majorHAnsi" w:eastAsiaTheme="majorEastAsia" w:hAnsiTheme="majorHAnsi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D5"/>
    <w:rPr>
      <w:rFonts w:ascii="Segoe UI" w:hAnsi="Segoe UI" w:cs="Segoe UI"/>
      <w:b/>
      <w:sz w:val="18"/>
      <w:szCs w:val="18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A41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B4"/>
    <w:rPr>
      <w:rFonts w:ascii="Monotype Hadassah" w:hAnsi="Monotype Hadassah" w:cs="David"/>
      <w:b/>
      <w:sz w:val="20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A41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B4"/>
    <w:rPr>
      <w:rFonts w:ascii="Monotype Hadassah" w:hAnsi="Monotype Hadassah" w:cs="David"/>
      <w:b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Swaid</dc:creator>
  <cp:keywords/>
  <dc:description/>
  <cp:lastModifiedBy>ilan.saban@gmail.com</cp:lastModifiedBy>
  <cp:revision>3</cp:revision>
  <dcterms:created xsi:type="dcterms:W3CDTF">2020-07-13T09:33:00Z</dcterms:created>
  <dcterms:modified xsi:type="dcterms:W3CDTF">2020-07-13T09:35:00Z</dcterms:modified>
</cp:coreProperties>
</file>