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tblCellMar>
          <w:left w:w="0" w:type="dxa"/>
          <w:right w:w="0" w:type="dxa"/>
        </w:tblCellMar>
        <w:tblLook w:val="04A0" w:firstRow="1" w:lastRow="0" w:firstColumn="1" w:lastColumn="0" w:noHBand="0" w:noVBand="1"/>
      </w:tblPr>
      <w:tblGrid>
        <w:gridCol w:w="100"/>
      </w:tblGrid>
      <w:tr w:rsidR="0092533D" w:rsidRPr="0092533D" w:rsidTr="0092533D">
        <w:trPr>
          <w:tblCellSpacing w:w="0" w:type="dxa"/>
          <w:jc w:val="center"/>
        </w:trPr>
        <w:tc>
          <w:tcPr>
            <w:tcW w:w="0" w:type="auto"/>
            <w:hideMark/>
          </w:tcPr>
          <w:p w:rsidR="0092533D" w:rsidRPr="0092533D" w:rsidRDefault="0092533D" w:rsidP="0092533D">
            <w:pPr>
              <w:spacing w:after="0" w:line="300" w:lineRule="atLeast"/>
              <w:rPr>
                <w:rFonts w:ascii="Times New Roman" w:eastAsia="Times New Roman" w:hAnsi="Times New Roman" w:cs="Times New Roman"/>
                <w:sz w:val="20"/>
                <w:szCs w:val="20"/>
              </w:rPr>
            </w:pPr>
            <w:bookmarkStart w:id="0" w:name="צד_ג"/>
            <w:bookmarkStart w:id="1" w:name="_GoBack" w:colFirst="1" w:colLast="1"/>
            <w:bookmarkEnd w:id="0"/>
            <w:r w:rsidRPr="0092533D">
              <w:rPr>
                <w:rFonts w:ascii="Times New Roman" w:eastAsia="Times New Roman" w:hAnsi="Times New Roman" w:cs="Times New Roman"/>
                <w:sz w:val="20"/>
                <w:szCs w:val="20"/>
              </w:rPr>
              <w:t>4</w:t>
            </w:r>
          </w:p>
        </w:tc>
      </w:tr>
    </w:tbl>
    <w:bookmarkEnd w:id="1"/>
    <w:p w:rsidR="0092533D" w:rsidRPr="0092533D" w:rsidRDefault="0092533D" w:rsidP="0092533D">
      <w:pPr>
        <w:spacing w:after="0" w:line="300" w:lineRule="atLeast"/>
        <w:jc w:val="center"/>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jc w:val="center"/>
        <w:rPr>
          <w:rFonts w:ascii="Times New Roman" w:eastAsia="Times New Roman" w:hAnsi="Times New Roman" w:cs="Times New Roman"/>
          <w:color w:val="000000"/>
          <w:sz w:val="20"/>
          <w:szCs w:val="20"/>
          <w:rtl/>
        </w:rPr>
      </w:pPr>
      <w:r w:rsidRPr="0092533D">
        <w:rPr>
          <w:rFonts w:ascii="Times New Roman" w:eastAsia="Times New Roman" w:hAnsi="Times New Roman" w:cs="Times New Roman"/>
          <w:color w:val="000000"/>
          <w:sz w:val="20"/>
          <w:szCs w:val="20"/>
        </w:rPr>
        <w:t>   </w:t>
      </w:r>
    </w:p>
    <w:p w:rsidR="0092533D" w:rsidRPr="0092533D" w:rsidRDefault="0092533D" w:rsidP="0092533D">
      <w:pPr>
        <w:spacing w:after="0" w:line="300" w:lineRule="atLeast"/>
        <w:jc w:val="center"/>
        <w:rPr>
          <w:rFonts w:ascii="Times New Roman" w:eastAsia="Times New Roman" w:hAnsi="Times New Roman" w:cs="Times New Roman"/>
          <w:color w:val="000000"/>
          <w:sz w:val="20"/>
          <w:szCs w:val="20"/>
          <w:rtl/>
        </w:rPr>
      </w:pPr>
      <w:r w:rsidRPr="0092533D">
        <w:rPr>
          <w:rFonts w:ascii="David" w:eastAsia="Times New Roman" w:hAnsi="David" w:cs="David"/>
          <w:b/>
          <w:bCs/>
          <w:color w:val="000000"/>
          <w:sz w:val="32"/>
          <w:szCs w:val="32"/>
          <w:rtl/>
        </w:rPr>
        <w:t>בתי המשפט</w:t>
      </w:r>
    </w:p>
    <w:tbl>
      <w:tblPr>
        <w:tblW w:w="0" w:type="auto"/>
        <w:jc w:val="right"/>
        <w:tblCellMar>
          <w:left w:w="0" w:type="dxa"/>
          <w:right w:w="0" w:type="dxa"/>
        </w:tblCellMar>
        <w:tblLook w:val="04A0" w:firstRow="1" w:lastRow="0" w:firstColumn="1" w:lastColumn="0" w:noHBand="0" w:noVBand="1"/>
      </w:tblPr>
      <w:tblGrid>
        <w:gridCol w:w="1956"/>
        <w:gridCol w:w="960"/>
        <w:gridCol w:w="4725"/>
        <w:gridCol w:w="890"/>
      </w:tblGrid>
      <w:tr w:rsidR="0092533D" w:rsidRPr="0092533D" w:rsidTr="0092533D">
        <w:trPr>
          <w:trHeight w:val="195"/>
          <w:jc w:val="right"/>
        </w:trPr>
        <w:tc>
          <w:tcPr>
            <w:tcW w:w="29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Times New Roman" w:eastAsia="Times New Roman" w:hAnsi="Times New Roman" w:cs="Times New Roman"/>
                <w:sz w:val="20"/>
                <w:szCs w:val="20"/>
                <w:rtl/>
              </w:rPr>
              <w:t> </w:t>
            </w:r>
          </w:p>
        </w:tc>
        <w:tc>
          <w:tcPr>
            <w:tcW w:w="561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David" w:eastAsia="Times New Roman" w:hAnsi="David" w:cs="David"/>
                <w:b/>
                <w:bCs/>
                <w:sz w:val="24"/>
                <w:szCs w:val="24"/>
                <w:u w:val="single"/>
                <w:rtl/>
              </w:rPr>
              <w:t>בית משפט השלום תל אביב-יפו</w:t>
            </w:r>
          </w:p>
        </w:tc>
      </w:tr>
      <w:tr w:rsidR="0092533D" w:rsidRPr="0092533D" w:rsidTr="0092533D">
        <w:trPr>
          <w:trHeight w:val="195"/>
          <w:jc w:val="right"/>
        </w:trPr>
        <w:tc>
          <w:tcPr>
            <w:tcW w:w="291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David" w:eastAsia="Times New Roman" w:hAnsi="David" w:cs="David"/>
                <w:b/>
                <w:bCs/>
                <w:sz w:val="24"/>
                <w:szCs w:val="24"/>
                <w:rtl/>
              </w:rPr>
              <w:t> </w:t>
            </w:r>
            <w:r w:rsidRPr="0092533D">
              <w:rPr>
                <w:rFonts w:ascii="David" w:eastAsia="Times New Roman" w:hAnsi="David" w:cs="David" w:hint="cs"/>
                <w:b/>
                <w:bCs/>
                <w:sz w:val="24"/>
                <w:szCs w:val="24"/>
                <w:rtl/>
              </w:rPr>
              <w:t>א  017226/04</w:t>
            </w:r>
          </w:p>
        </w:tc>
        <w:tc>
          <w:tcPr>
            <w:tcW w:w="5614" w:type="dxa"/>
            <w:gridSpan w:val="2"/>
            <w:vMerge w:val="restart"/>
            <w:tcBorders>
              <w:top w:val="nil"/>
              <w:left w:val="nil"/>
              <w:bottom w:val="single" w:sz="4" w:space="0" w:color="auto"/>
              <w:right w:val="single" w:sz="4" w:space="0" w:color="auto"/>
            </w:tcBorders>
            <w:tcMar>
              <w:top w:w="0" w:type="dxa"/>
              <w:left w:w="108" w:type="dxa"/>
              <w:bottom w:w="0" w:type="dxa"/>
              <w:right w:w="108"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David" w:eastAsia="Times New Roman" w:hAnsi="David" w:cs="David"/>
                <w:b/>
                <w:bCs/>
                <w:sz w:val="24"/>
                <w:szCs w:val="24"/>
                <w:u w:val="single"/>
                <w:rtl/>
              </w:rPr>
              <w:t> </w:t>
            </w:r>
          </w:p>
        </w:tc>
      </w:tr>
      <w:tr w:rsidR="0092533D" w:rsidRPr="0092533D" w:rsidTr="0092533D">
        <w:trPr>
          <w:trHeight w:val="195"/>
          <w:jc w:val="right"/>
        </w:trPr>
        <w:tc>
          <w:tcPr>
            <w:tcW w:w="291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David" w:eastAsia="Times New Roman" w:hAnsi="David" w:cs="David"/>
                <w:b/>
                <w:bCs/>
                <w:sz w:val="24"/>
                <w:szCs w:val="24"/>
                <w:rtl/>
              </w:rPr>
              <w:t> בש"א 172839/04</w:t>
            </w:r>
          </w:p>
        </w:tc>
        <w:tc>
          <w:tcPr>
            <w:tcW w:w="0" w:type="auto"/>
            <w:gridSpan w:val="2"/>
            <w:vMerge/>
            <w:tcBorders>
              <w:top w:val="nil"/>
              <w:left w:val="nil"/>
              <w:bottom w:val="single" w:sz="4" w:space="0" w:color="auto"/>
              <w:right w:val="single" w:sz="4" w:space="0" w:color="auto"/>
            </w:tcBorders>
            <w:vAlign w:val="center"/>
            <w:hideMark/>
          </w:tcPr>
          <w:p w:rsidR="0092533D" w:rsidRPr="0092533D" w:rsidRDefault="0092533D" w:rsidP="0092533D">
            <w:pPr>
              <w:bidi w:val="0"/>
              <w:spacing w:after="0" w:line="240" w:lineRule="auto"/>
              <w:rPr>
                <w:rFonts w:ascii="Times New Roman" w:eastAsia="Times New Roman" w:hAnsi="Times New Roman" w:cs="Times New Roman"/>
                <w:sz w:val="20"/>
                <w:szCs w:val="20"/>
              </w:rPr>
            </w:pPr>
          </w:p>
        </w:tc>
      </w:tr>
      <w:tr w:rsidR="0092533D" w:rsidRPr="0092533D" w:rsidTr="0092533D">
        <w:trPr>
          <w:trHeight w:val="286"/>
          <w:jc w:val="right"/>
        </w:trPr>
        <w:tc>
          <w:tcPr>
            <w:tcW w:w="195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David" w:eastAsia="Times New Roman" w:hAnsi="David" w:cs="David"/>
                <w:b/>
                <w:bCs/>
                <w:sz w:val="24"/>
                <w:szCs w:val="24"/>
                <w:rtl/>
              </w:rPr>
              <w:t>26/09/2004</w:t>
            </w:r>
          </w:p>
        </w:tc>
        <w:tc>
          <w:tcPr>
            <w:tcW w:w="959" w:type="dxa"/>
            <w:tcBorders>
              <w:top w:val="nil"/>
              <w:left w:val="nil"/>
              <w:bottom w:val="single" w:sz="4" w:space="0" w:color="auto"/>
              <w:right w:val="single" w:sz="4" w:space="0" w:color="auto"/>
            </w:tcBorders>
            <w:tcMar>
              <w:top w:w="0" w:type="dxa"/>
              <w:left w:w="28" w:type="dxa"/>
              <w:bottom w:w="0" w:type="dxa"/>
              <w:right w:w="28"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David" w:eastAsia="Times New Roman" w:hAnsi="David" w:cs="David"/>
                <w:b/>
                <w:bCs/>
                <w:sz w:val="24"/>
                <w:szCs w:val="24"/>
                <w:rtl/>
              </w:rPr>
              <w:t>  </w:t>
            </w:r>
          </w:p>
        </w:tc>
        <w:tc>
          <w:tcPr>
            <w:tcW w:w="4724" w:type="dxa"/>
            <w:tcBorders>
              <w:top w:val="nil"/>
              <w:left w:val="nil"/>
              <w:bottom w:val="single" w:sz="4" w:space="0" w:color="auto"/>
              <w:right w:val="single" w:sz="4" w:space="0" w:color="auto"/>
            </w:tcBorders>
            <w:tcMar>
              <w:top w:w="0" w:type="dxa"/>
              <w:left w:w="108" w:type="dxa"/>
              <w:bottom w:w="0" w:type="dxa"/>
              <w:right w:w="108"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David" w:eastAsia="Times New Roman" w:hAnsi="David" w:cs="David"/>
                <w:b/>
                <w:bCs/>
                <w:sz w:val="24"/>
                <w:szCs w:val="24"/>
                <w:rtl/>
              </w:rPr>
              <w:t>כב' השופטת אגי זהבה</w:t>
            </w:r>
          </w:p>
        </w:tc>
        <w:tc>
          <w:tcPr>
            <w:tcW w:w="890" w:type="dxa"/>
            <w:tcBorders>
              <w:top w:val="nil"/>
              <w:left w:val="nil"/>
              <w:bottom w:val="single" w:sz="4" w:space="0" w:color="auto"/>
              <w:right w:val="single" w:sz="4" w:space="0" w:color="auto"/>
            </w:tcBorders>
            <w:tcMar>
              <w:top w:w="0" w:type="dxa"/>
              <w:left w:w="108" w:type="dxa"/>
              <w:bottom w:w="0" w:type="dxa"/>
              <w:right w:w="108"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David" w:eastAsia="Times New Roman" w:hAnsi="David" w:cs="David"/>
                <w:b/>
                <w:bCs/>
                <w:sz w:val="24"/>
                <w:szCs w:val="24"/>
                <w:rtl/>
              </w:rPr>
              <w:t>בפני:</w:t>
            </w:r>
          </w:p>
        </w:tc>
      </w:tr>
      <w:tr w:rsidR="0092533D" w:rsidRPr="0092533D" w:rsidTr="0092533D">
        <w:trPr>
          <w:jc w:val="right"/>
        </w:trPr>
        <w:tc>
          <w:tcPr>
            <w:tcW w:w="1950" w:type="dxa"/>
            <w:tcBorders>
              <w:top w:val="nil"/>
              <w:left w:val="nil"/>
              <w:bottom w:val="nil"/>
              <w:right w:val="nil"/>
            </w:tcBorders>
            <w:vAlign w:val="center"/>
            <w:hideMark/>
          </w:tcPr>
          <w:p w:rsidR="0092533D" w:rsidRPr="0092533D" w:rsidRDefault="0092533D" w:rsidP="0092533D">
            <w:pPr>
              <w:bidi w:val="0"/>
              <w:spacing w:after="0" w:line="240" w:lineRule="auto"/>
              <w:rPr>
                <w:rFonts w:ascii="Times New Roman" w:eastAsia="Times New Roman" w:hAnsi="Times New Roman" w:cs="Times New Roman"/>
                <w:sz w:val="20"/>
                <w:szCs w:val="20"/>
                <w:rtl/>
              </w:rPr>
            </w:pPr>
          </w:p>
        </w:tc>
        <w:tc>
          <w:tcPr>
            <w:tcW w:w="960" w:type="dxa"/>
            <w:tcBorders>
              <w:top w:val="nil"/>
              <w:left w:val="nil"/>
              <w:bottom w:val="nil"/>
              <w:right w:val="nil"/>
            </w:tcBorders>
            <w:vAlign w:val="center"/>
            <w:hideMark/>
          </w:tcPr>
          <w:p w:rsidR="0092533D" w:rsidRPr="0092533D" w:rsidRDefault="0092533D" w:rsidP="0092533D">
            <w:pPr>
              <w:bidi w:val="0"/>
              <w:spacing w:after="0" w:line="240" w:lineRule="auto"/>
              <w:rPr>
                <w:rFonts w:ascii="Times New Roman" w:eastAsia="Times New Roman" w:hAnsi="Times New Roman" w:cs="Times New Roman"/>
                <w:sz w:val="20"/>
                <w:szCs w:val="20"/>
              </w:rPr>
            </w:pPr>
          </w:p>
        </w:tc>
        <w:tc>
          <w:tcPr>
            <w:tcW w:w="4725" w:type="dxa"/>
            <w:tcBorders>
              <w:top w:val="nil"/>
              <w:left w:val="nil"/>
              <w:bottom w:val="nil"/>
              <w:right w:val="nil"/>
            </w:tcBorders>
            <w:vAlign w:val="center"/>
            <w:hideMark/>
          </w:tcPr>
          <w:p w:rsidR="0092533D" w:rsidRPr="0092533D" w:rsidRDefault="0092533D" w:rsidP="0092533D">
            <w:pPr>
              <w:bidi w:val="0"/>
              <w:spacing w:after="0" w:line="240" w:lineRule="auto"/>
              <w:rPr>
                <w:rFonts w:ascii="Times New Roman" w:eastAsia="Times New Roman" w:hAnsi="Times New Roman" w:cs="Times New Roman"/>
                <w:sz w:val="20"/>
                <w:szCs w:val="20"/>
              </w:rPr>
            </w:pPr>
          </w:p>
        </w:tc>
        <w:tc>
          <w:tcPr>
            <w:tcW w:w="885" w:type="dxa"/>
            <w:tcBorders>
              <w:top w:val="nil"/>
              <w:left w:val="nil"/>
              <w:bottom w:val="nil"/>
              <w:right w:val="nil"/>
            </w:tcBorders>
            <w:vAlign w:val="center"/>
            <w:hideMark/>
          </w:tcPr>
          <w:p w:rsidR="0092533D" w:rsidRPr="0092533D" w:rsidRDefault="0092533D" w:rsidP="0092533D">
            <w:pPr>
              <w:bidi w:val="0"/>
              <w:spacing w:after="0" w:line="240" w:lineRule="auto"/>
              <w:rPr>
                <w:rFonts w:ascii="Times New Roman" w:eastAsia="Times New Roman" w:hAnsi="Times New Roman" w:cs="Times New Roman"/>
                <w:sz w:val="20"/>
                <w:szCs w:val="20"/>
              </w:rPr>
            </w:pPr>
          </w:p>
        </w:tc>
      </w:tr>
    </w:tbl>
    <w:p w:rsidR="0092533D" w:rsidRPr="0092533D" w:rsidRDefault="0092533D" w:rsidP="0092533D">
      <w:pPr>
        <w:spacing w:after="0" w:line="300" w:lineRule="atLeast"/>
        <w:rPr>
          <w:rFonts w:ascii="Times New Roman" w:eastAsia="Times New Roman" w:hAnsi="Times New Roman" w:cs="Times New Roman"/>
          <w:color w:val="000000"/>
          <w:sz w:val="20"/>
          <w:szCs w:val="20"/>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tbl>
      <w:tblPr>
        <w:tblW w:w="8591" w:type="dxa"/>
        <w:jc w:val="right"/>
        <w:tblCellMar>
          <w:left w:w="0" w:type="dxa"/>
          <w:right w:w="0" w:type="dxa"/>
        </w:tblCellMar>
        <w:tblLook w:val="04A0" w:firstRow="1" w:lastRow="0" w:firstColumn="1" w:lastColumn="0" w:noHBand="0" w:noVBand="1"/>
      </w:tblPr>
      <w:tblGrid>
        <w:gridCol w:w="2409"/>
        <w:gridCol w:w="3063"/>
        <w:gridCol w:w="1757"/>
        <w:gridCol w:w="1362"/>
      </w:tblGrid>
      <w:tr w:rsidR="0092533D" w:rsidRPr="0092533D" w:rsidTr="0092533D">
        <w:trPr>
          <w:jc w:val="right"/>
        </w:trPr>
        <w:tc>
          <w:tcPr>
            <w:tcW w:w="2409" w:type="dxa"/>
            <w:tcMar>
              <w:top w:w="0" w:type="dxa"/>
              <w:left w:w="107" w:type="dxa"/>
              <w:bottom w:w="0" w:type="dxa"/>
              <w:right w:w="107"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Times New Roman" w:eastAsia="Times New Roman" w:hAnsi="Times New Roman" w:cs="Times New Roman"/>
                <w:sz w:val="20"/>
                <w:szCs w:val="20"/>
                <w:rtl/>
              </w:rPr>
              <w:t> </w:t>
            </w:r>
          </w:p>
        </w:tc>
        <w:tc>
          <w:tcPr>
            <w:tcW w:w="4820" w:type="dxa"/>
            <w:gridSpan w:val="2"/>
            <w:tcMar>
              <w:top w:w="0" w:type="dxa"/>
              <w:left w:w="107" w:type="dxa"/>
              <w:bottom w:w="0" w:type="dxa"/>
              <w:right w:w="107"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bookmarkStart w:id="2" w:name="שם_א"/>
            <w:r w:rsidRPr="0092533D">
              <w:rPr>
                <w:rFonts w:ascii="David" w:eastAsia="Times New Roman" w:hAnsi="David" w:cs="David"/>
                <w:b/>
                <w:bCs/>
                <w:sz w:val="24"/>
                <w:szCs w:val="24"/>
                <w:rtl/>
              </w:rPr>
              <w:t>1. אדי לוי</w:t>
            </w:r>
            <w:bookmarkEnd w:id="2"/>
          </w:p>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David" w:eastAsia="Times New Roman" w:hAnsi="David" w:cs="David"/>
                <w:b/>
                <w:bCs/>
                <w:sz w:val="24"/>
                <w:szCs w:val="24"/>
                <w:rtl/>
              </w:rPr>
              <w:t>2. הפניקס חברה לביטוח בע"מ</w:t>
            </w:r>
          </w:p>
        </w:tc>
        <w:tc>
          <w:tcPr>
            <w:tcW w:w="1362" w:type="dxa"/>
            <w:tcMar>
              <w:top w:w="0" w:type="dxa"/>
              <w:left w:w="107" w:type="dxa"/>
              <w:bottom w:w="0" w:type="dxa"/>
              <w:right w:w="107"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David" w:eastAsia="Times New Roman" w:hAnsi="David" w:cs="David"/>
                <w:b/>
                <w:bCs/>
                <w:sz w:val="24"/>
                <w:szCs w:val="24"/>
                <w:rtl/>
              </w:rPr>
              <w:t>בעניין:</w:t>
            </w:r>
          </w:p>
        </w:tc>
      </w:tr>
      <w:tr w:rsidR="0092533D" w:rsidRPr="0092533D" w:rsidTr="0092533D">
        <w:trPr>
          <w:jc w:val="right"/>
        </w:trPr>
        <w:tc>
          <w:tcPr>
            <w:tcW w:w="2409" w:type="dxa"/>
            <w:tcMar>
              <w:top w:w="0" w:type="dxa"/>
              <w:left w:w="107" w:type="dxa"/>
              <w:bottom w:w="0" w:type="dxa"/>
              <w:right w:w="107" w:type="dxa"/>
            </w:tcMar>
            <w:hideMark/>
          </w:tcPr>
          <w:p w:rsidR="0092533D" w:rsidRPr="0092533D" w:rsidRDefault="0092533D" w:rsidP="0092533D">
            <w:pPr>
              <w:spacing w:after="0" w:line="420" w:lineRule="atLeast"/>
              <w:jc w:val="both"/>
              <w:outlineLvl w:val="3"/>
              <w:rPr>
                <w:rFonts w:ascii="Times New Roman" w:eastAsia="Times New Roman" w:hAnsi="Times New Roman" w:cs="Times New Roman"/>
                <w:b/>
                <w:bCs/>
                <w:sz w:val="28"/>
                <w:szCs w:val="28"/>
                <w:u w:val="single"/>
                <w:rtl/>
              </w:rPr>
            </w:pPr>
            <w:bookmarkStart w:id="3" w:name="כינוי_א"/>
            <w:r w:rsidRPr="0092533D">
              <w:rPr>
                <w:rFonts w:ascii="David" w:eastAsia="Times New Roman" w:hAnsi="David" w:cs="David"/>
                <w:b/>
                <w:bCs/>
                <w:sz w:val="24"/>
                <w:szCs w:val="24"/>
                <w:u w:val="single"/>
                <w:rtl/>
              </w:rPr>
              <w:t>המבקשים</w:t>
            </w:r>
            <w:bookmarkEnd w:id="3"/>
          </w:p>
          <w:p w:rsidR="0092533D" w:rsidRPr="0092533D" w:rsidRDefault="0092533D" w:rsidP="0092533D">
            <w:pPr>
              <w:spacing w:after="0" w:line="300" w:lineRule="atLeast"/>
              <w:jc w:val="both"/>
              <w:outlineLvl w:val="4"/>
              <w:rPr>
                <w:rFonts w:ascii="Times New Roman" w:eastAsia="Times New Roman" w:hAnsi="Times New Roman" w:cs="Times New Roman"/>
                <w:b/>
                <w:bCs/>
                <w:sz w:val="20"/>
                <w:szCs w:val="20"/>
                <w:rtl/>
              </w:rPr>
            </w:pPr>
            <w:r w:rsidRPr="0092533D">
              <w:rPr>
                <w:rFonts w:ascii="David" w:eastAsia="Times New Roman" w:hAnsi="David" w:cs="David"/>
                <w:b/>
                <w:bCs/>
                <w:sz w:val="24"/>
                <w:szCs w:val="24"/>
                <w:rtl/>
              </w:rPr>
              <w:t>הנתבעים</w:t>
            </w:r>
          </w:p>
        </w:tc>
        <w:tc>
          <w:tcPr>
            <w:tcW w:w="3063" w:type="dxa"/>
            <w:tcMar>
              <w:top w:w="0" w:type="dxa"/>
              <w:left w:w="107" w:type="dxa"/>
              <w:bottom w:w="0" w:type="dxa"/>
              <w:right w:w="107"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David" w:eastAsia="Times New Roman" w:hAnsi="David" w:cs="David"/>
                <w:b/>
                <w:bCs/>
                <w:sz w:val="24"/>
                <w:szCs w:val="24"/>
                <w:rtl/>
              </w:rPr>
              <w:t>אהרנסון ואח'</w:t>
            </w:r>
          </w:p>
        </w:tc>
        <w:tc>
          <w:tcPr>
            <w:tcW w:w="1757" w:type="dxa"/>
            <w:tcMar>
              <w:top w:w="0" w:type="dxa"/>
              <w:left w:w="107" w:type="dxa"/>
              <w:bottom w:w="0" w:type="dxa"/>
              <w:right w:w="107"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David" w:eastAsia="Times New Roman" w:hAnsi="David" w:cs="David"/>
                <w:b/>
                <w:bCs/>
                <w:sz w:val="24"/>
                <w:szCs w:val="24"/>
                <w:rtl/>
              </w:rPr>
              <w:t>ע"י ב"כ עוה"ד</w:t>
            </w:r>
          </w:p>
        </w:tc>
        <w:tc>
          <w:tcPr>
            <w:tcW w:w="1362" w:type="dxa"/>
            <w:tcMar>
              <w:top w:w="0" w:type="dxa"/>
              <w:left w:w="107" w:type="dxa"/>
              <w:bottom w:w="0" w:type="dxa"/>
              <w:right w:w="107"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Times New Roman" w:eastAsia="Times New Roman" w:hAnsi="Times New Roman" w:cs="Times New Roman"/>
                <w:sz w:val="20"/>
                <w:szCs w:val="20"/>
                <w:rtl/>
              </w:rPr>
              <w:t> </w:t>
            </w:r>
          </w:p>
        </w:tc>
      </w:tr>
      <w:tr w:rsidR="0092533D" w:rsidRPr="0092533D" w:rsidTr="0092533D">
        <w:trPr>
          <w:jc w:val="right"/>
        </w:trPr>
        <w:tc>
          <w:tcPr>
            <w:tcW w:w="2409" w:type="dxa"/>
            <w:tcMar>
              <w:top w:w="0" w:type="dxa"/>
              <w:left w:w="107" w:type="dxa"/>
              <w:bottom w:w="0" w:type="dxa"/>
              <w:right w:w="107"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Times New Roman" w:eastAsia="Times New Roman" w:hAnsi="Times New Roman" w:cs="Times New Roman"/>
                <w:sz w:val="20"/>
                <w:szCs w:val="20"/>
                <w:rtl/>
              </w:rPr>
              <w:t> </w:t>
            </w:r>
          </w:p>
        </w:tc>
        <w:tc>
          <w:tcPr>
            <w:tcW w:w="4820" w:type="dxa"/>
            <w:gridSpan w:val="2"/>
            <w:tcMar>
              <w:top w:w="0" w:type="dxa"/>
              <w:left w:w="107" w:type="dxa"/>
              <w:bottom w:w="0" w:type="dxa"/>
              <w:right w:w="107" w:type="dxa"/>
            </w:tcMar>
            <w:hideMark/>
          </w:tcPr>
          <w:p w:rsidR="0092533D" w:rsidRPr="0092533D" w:rsidRDefault="0092533D" w:rsidP="0092533D">
            <w:pPr>
              <w:spacing w:after="0" w:line="300" w:lineRule="atLeast"/>
              <w:jc w:val="center"/>
              <w:rPr>
                <w:rFonts w:ascii="Times New Roman" w:eastAsia="Times New Roman" w:hAnsi="Times New Roman" w:cs="Times New Roman"/>
                <w:sz w:val="20"/>
                <w:szCs w:val="20"/>
                <w:rtl/>
              </w:rPr>
            </w:pPr>
            <w:r w:rsidRPr="0092533D">
              <w:rPr>
                <w:rFonts w:ascii="David" w:eastAsia="Times New Roman" w:hAnsi="David" w:cs="David"/>
                <w:b/>
                <w:bCs/>
                <w:sz w:val="24"/>
                <w:szCs w:val="24"/>
                <w:rtl/>
              </w:rPr>
              <w:t>-נ  ג  ד-</w:t>
            </w:r>
          </w:p>
        </w:tc>
        <w:tc>
          <w:tcPr>
            <w:tcW w:w="1362" w:type="dxa"/>
            <w:tcMar>
              <w:top w:w="0" w:type="dxa"/>
              <w:left w:w="107" w:type="dxa"/>
              <w:bottom w:w="0" w:type="dxa"/>
              <w:right w:w="107"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Times New Roman" w:eastAsia="Times New Roman" w:hAnsi="Times New Roman" w:cs="Times New Roman"/>
                <w:sz w:val="20"/>
                <w:szCs w:val="20"/>
                <w:rtl/>
              </w:rPr>
              <w:t> </w:t>
            </w:r>
          </w:p>
        </w:tc>
      </w:tr>
      <w:tr w:rsidR="0092533D" w:rsidRPr="0092533D" w:rsidTr="0092533D">
        <w:trPr>
          <w:jc w:val="right"/>
        </w:trPr>
        <w:tc>
          <w:tcPr>
            <w:tcW w:w="2409" w:type="dxa"/>
            <w:tcMar>
              <w:top w:w="0" w:type="dxa"/>
              <w:left w:w="107" w:type="dxa"/>
              <w:bottom w:w="0" w:type="dxa"/>
              <w:right w:w="107" w:type="dxa"/>
            </w:tcMar>
            <w:hideMark/>
          </w:tcPr>
          <w:p w:rsidR="0092533D" w:rsidRPr="0092533D" w:rsidRDefault="0092533D" w:rsidP="0092533D">
            <w:pPr>
              <w:spacing w:after="0" w:line="420" w:lineRule="atLeast"/>
              <w:jc w:val="both"/>
              <w:outlineLvl w:val="3"/>
              <w:rPr>
                <w:rFonts w:ascii="Times New Roman" w:eastAsia="Times New Roman" w:hAnsi="Times New Roman" w:cs="Times New Roman"/>
                <w:b/>
                <w:bCs/>
                <w:sz w:val="28"/>
                <w:szCs w:val="28"/>
                <w:u w:val="single"/>
                <w:rtl/>
              </w:rPr>
            </w:pPr>
            <w:r w:rsidRPr="0092533D">
              <w:rPr>
                <w:rFonts w:ascii="Times New Roman" w:eastAsia="Times New Roman" w:hAnsi="Times New Roman" w:cs="Times New Roman"/>
                <w:b/>
                <w:bCs/>
                <w:sz w:val="28"/>
                <w:szCs w:val="28"/>
                <w:u w:val="single"/>
                <w:rtl/>
              </w:rPr>
              <w:t> </w:t>
            </w:r>
          </w:p>
        </w:tc>
        <w:tc>
          <w:tcPr>
            <w:tcW w:w="4820" w:type="dxa"/>
            <w:gridSpan w:val="2"/>
            <w:tcMar>
              <w:top w:w="0" w:type="dxa"/>
              <w:left w:w="107" w:type="dxa"/>
              <w:bottom w:w="0" w:type="dxa"/>
              <w:right w:w="107"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bookmarkStart w:id="4" w:name="שם_ב"/>
            <w:r w:rsidRPr="0092533D">
              <w:rPr>
                <w:rFonts w:ascii="David" w:eastAsia="Times New Roman" w:hAnsi="David" w:cs="David"/>
                <w:b/>
                <w:bCs/>
                <w:sz w:val="24"/>
                <w:szCs w:val="24"/>
                <w:rtl/>
              </w:rPr>
              <w:t xml:space="preserve">דראושה </w:t>
            </w:r>
            <w:proofErr w:type="spellStart"/>
            <w:r w:rsidRPr="0092533D">
              <w:rPr>
                <w:rFonts w:ascii="David" w:eastAsia="Times New Roman" w:hAnsi="David" w:cs="David"/>
                <w:b/>
                <w:bCs/>
                <w:sz w:val="24"/>
                <w:szCs w:val="24"/>
                <w:rtl/>
              </w:rPr>
              <w:t>גאנמה</w:t>
            </w:r>
            <w:proofErr w:type="spellEnd"/>
            <w:r w:rsidRPr="0092533D">
              <w:rPr>
                <w:rFonts w:ascii="David" w:eastAsia="Times New Roman" w:hAnsi="David" w:cs="David"/>
                <w:b/>
                <w:bCs/>
                <w:sz w:val="24"/>
                <w:szCs w:val="24"/>
                <w:rtl/>
              </w:rPr>
              <w:t xml:space="preserve"> </w:t>
            </w:r>
            <w:proofErr w:type="spellStart"/>
            <w:r w:rsidRPr="0092533D">
              <w:rPr>
                <w:rFonts w:ascii="David" w:eastAsia="Times New Roman" w:hAnsi="David" w:cs="David"/>
                <w:b/>
                <w:bCs/>
                <w:sz w:val="24"/>
                <w:szCs w:val="24"/>
                <w:rtl/>
              </w:rPr>
              <w:t>דרויש</w:t>
            </w:r>
            <w:bookmarkEnd w:id="4"/>
            <w:proofErr w:type="spellEnd"/>
          </w:p>
        </w:tc>
        <w:tc>
          <w:tcPr>
            <w:tcW w:w="1362" w:type="dxa"/>
            <w:tcMar>
              <w:top w:w="0" w:type="dxa"/>
              <w:left w:w="107" w:type="dxa"/>
              <w:bottom w:w="0" w:type="dxa"/>
              <w:right w:w="107"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Times New Roman" w:eastAsia="Times New Roman" w:hAnsi="Times New Roman" w:cs="Times New Roman"/>
                <w:sz w:val="20"/>
                <w:szCs w:val="20"/>
                <w:rtl/>
              </w:rPr>
              <w:t> </w:t>
            </w:r>
          </w:p>
        </w:tc>
      </w:tr>
      <w:tr w:rsidR="0092533D" w:rsidRPr="0092533D" w:rsidTr="0092533D">
        <w:trPr>
          <w:jc w:val="right"/>
        </w:trPr>
        <w:tc>
          <w:tcPr>
            <w:tcW w:w="2409" w:type="dxa"/>
            <w:tcMar>
              <w:top w:w="0" w:type="dxa"/>
              <w:left w:w="107" w:type="dxa"/>
              <w:bottom w:w="0" w:type="dxa"/>
              <w:right w:w="107" w:type="dxa"/>
            </w:tcMar>
            <w:hideMark/>
          </w:tcPr>
          <w:p w:rsidR="0092533D" w:rsidRPr="0092533D" w:rsidRDefault="0092533D" w:rsidP="0092533D">
            <w:pPr>
              <w:spacing w:after="0" w:line="420" w:lineRule="atLeast"/>
              <w:jc w:val="both"/>
              <w:outlineLvl w:val="3"/>
              <w:rPr>
                <w:rFonts w:ascii="Times New Roman" w:eastAsia="Times New Roman" w:hAnsi="Times New Roman" w:cs="Times New Roman"/>
                <w:b/>
                <w:bCs/>
                <w:sz w:val="28"/>
                <w:szCs w:val="28"/>
                <w:u w:val="single"/>
                <w:rtl/>
              </w:rPr>
            </w:pPr>
            <w:bookmarkStart w:id="5" w:name="כינוי_ב"/>
            <w:r w:rsidRPr="0092533D">
              <w:rPr>
                <w:rFonts w:ascii="David" w:eastAsia="Times New Roman" w:hAnsi="David" w:cs="David"/>
                <w:b/>
                <w:bCs/>
                <w:sz w:val="24"/>
                <w:szCs w:val="24"/>
                <w:u w:val="single"/>
                <w:rtl/>
              </w:rPr>
              <w:t>המשיבה</w:t>
            </w:r>
            <w:bookmarkEnd w:id="5"/>
          </w:p>
          <w:p w:rsidR="0092533D" w:rsidRPr="0092533D" w:rsidRDefault="0092533D" w:rsidP="0092533D">
            <w:pPr>
              <w:spacing w:after="0" w:line="300" w:lineRule="atLeast"/>
              <w:jc w:val="both"/>
              <w:outlineLvl w:val="5"/>
              <w:rPr>
                <w:rFonts w:ascii="Times New Roman" w:eastAsia="Times New Roman" w:hAnsi="Times New Roman" w:cs="Times New Roman"/>
                <w:b/>
                <w:bCs/>
                <w:sz w:val="20"/>
                <w:szCs w:val="20"/>
                <w:rtl/>
              </w:rPr>
            </w:pPr>
            <w:r w:rsidRPr="0092533D">
              <w:rPr>
                <w:rFonts w:ascii="David" w:eastAsia="Times New Roman" w:hAnsi="David" w:cs="David"/>
                <w:b/>
                <w:bCs/>
                <w:sz w:val="24"/>
                <w:szCs w:val="24"/>
                <w:rtl/>
              </w:rPr>
              <w:t>התובעת</w:t>
            </w:r>
          </w:p>
        </w:tc>
        <w:tc>
          <w:tcPr>
            <w:tcW w:w="3063" w:type="dxa"/>
            <w:tcMar>
              <w:top w:w="0" w:type="dxa"/>
              <w:left w:w="107" w:type="dxa"/>
              <w:bottom w:w="0" w:type="dxa"/>
              <w:right w:w="107"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proofErr w:type="spellStart"/>
            <w:r w:rsidRPr="0092533D">
              <w:rPr>
                <w:rFonts w:ascii="David" w:eastAsia="Times New Roman" w:hAnsi="David" w:cs="David"/>
                <w:b/>
                <w:bCs/>
                <w:sz w:val="24"/>
                <w:szCs w:val="24"/>
                <w:rtl/>
              </w:rPr>
              <w:t>וידאל</w:t>
            </w:r>
            <w:proofErr w:type="spellEnd"/>
          </w:p>
        </w:tc>
        <w:tc>
          <w:tcPr>
            <w:tcW w:w="1757" w:type="dxa"/>
            <w:tcMar>
              <w:top w:w="0" w:type="dxa"/>
              <w:left w:w="107" w:type="dxa"/>
              <w:bottom w:w="0" w:type="dxa"/>
              <w:right w:w="107"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David" w:eastAsia="Times New Roman" w:hAnsi="David" w:cs="David"/>
                <w:b/>
                <w:bCs/>
                <w:sz w:val="24"/>
                <w:szCs w:val="24"/>
                <w:rtl/>
              </w:rPr>
              <w:t>ע"י ב"כ עוה"ד</w:t>
            </w:r>
          </w:p>
        </w:tc>
        <w:tc>
          <w:tcPr>
            <w:tcW w:w="1362" w:type="dxa"/>
            <w:tcMar>
              <w:top w:w="0" w:type="dxa"/>
              <w:left w:w="107" w:type="dxa"/>
              <w:bottom w:w="0" w:type="dxa"/>
              <w:right w:w="107" w:type="dxa"/>
            </w:tcMar>
            <w:hideMark/>
          </w:tcPr>
          <w:p w:rsidR="0092533D" w:rsidRPr="0092533D" w:rsidRDefault="0092533D" w:rsidP="0092533D">
            <w:pPr>
              <w:spacing w:after="0" w:line="300" w:lineRule="atLeast"/>
              <w:jc w:val="both"/>
              <w:rPr>
                <w:rFonts w:ascii="Times New Roman" w:eastAsia="Times New Roman" w:hAnsi="Times New Roman" w:cs="Times New Roman"/>
                <w:sz w:val="20"/>
                <w:szCs w:val="20"/>
                <w:rtl/>
              </w:rPr>
            </w:pPr>
            <w:r w:rsidRPr="0092533D">
              <w:rPr>
                <w:rFonts w:ascii="Times New Roman" w:eastAsia="Times New Roman" w:hAnsi="Times New Roman" w:cs="Times New Roman"/>
                <w:sz w:val="20"/>
                <w:szCs w:val="20"/>
                <w:rtl/>
              </w:rPr>
              <w:t> </w:t>
            </w:r>
          </w:p>
        </w:tc>
      </w:tr>
    </w:tbl>
    <w:p w:rsidR="0092533D" w:rsidRPr="0092533D" w:rsidRDefault="0092533D" w:rsidP="0092533D">
      <w:pPr>
        <w:spacing w:after="0" w:line="300" w:lineRule="atLeast"/>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jc w:val="center"/>
        <w:rPr>
          <w:rFonts w:ascii="Times New Roman" w:eastAsia="Times New Roman" w:hAnsi="Times New Roman" w:cs="Times New Roman"/>
          <w:color w:val="000000"/>
          <w:sz w:val="20"/>
          <w:szCs w:val="20"/>
          <w:rtl/>
        </w:rPr>
      </w:pPr>
      <w:bookmarkStart w:id="6" w:name="סוג_מסמך"/>
      <w:bookmarkEnd w:id="6"/>
      <w:r w:rsidRPr="0092533D">
        <w:rPr>
          <w:rFonts w:ascii="David" w:eastAsia="Times New Roman" w:hAnsi="David" w:cs="David"/>
          <w:b/>
          <w:bCs/>
          <w:color w:val="000000"/>
          <w:sz w:val="32"/>
          <w:szCs w:val="32"/>
          <w:u w:val="single"/>
          <w:rtl/>
        </w:rPr>
        <w:t>פסק דין</w:t>
      </w:r>
    </w:p>
    <w:p w:rsidR="0092533D" w:rsidRPr="0092533D" w:rsidRDefault="0092533D" w:rsidP="0092533D">
      <w:pPr>
        <w:spacing w:after="0" w:line="300" w:lineRule="atLeast"/>
        <w:jc w:val="center"/>
        <w:rPr>
          <w:rFonts w:ascii="Times New Roman" w:eastAsia="Times New Roman" w:hAnsi="Times New Roman" w:cs="Times New Roman"/>
          <w:color w:val="000000"/>
          <w:sz w:val="20"/>
          <w:szCs w:val="20"/>
          <w:rtl/>
        </w:rPr>
      </w:pPr>
      <w:r w:rsidRPr="0092533D">
        <w:rPr>
          <w:rFonts w:ascii="David" w:eastAsia="Times New Roman" w:hAnsi="David" w:cs="David"/>
          <w:b/>
          <w:bCs/>
          <w:color w:val="000000"/>
          <w:sz w:val="32"/>
          <w:szCs w:val="32"/>
          <w:u w:val="single"/>
          <w:rtl/>
        </w:rPr>
        <w:t> </w:t>
      </w:r>
    </w:p>
    <w:p w:rsidR="0092533D" w:rsidRPr="0092533D" w:rsidRDefault="0092533D" w:rsidP="0092533D">
      <w:pPr>
        <w:spacing w:after="0" w:line="300" w:lineRule="atLeast"/>
        <w:jc w:val="center"/>
        <w:rPr>
          <w:rFonts w:ascii="Times New Roman" w:eastAsia="Times New Roman" w:hAnsi="Times New Roman" w:cs="Times New Roman"/>
          <w:color w:val="000000"/>
          <w:sz w:val="20"/>
          <w:szCs w:val="20"/>
          <w:rtl/>
        </w:rPr>
      </w:pPr>
      <w:r w:rsidRPr="0092533D">
        <w:rPr>
          <w:rFonts w:ascii="David" w:eastAsia="Times New Roman" w:hAnsi="David" w:cs="David"/>
          <w:b/>
          <w:bCs/>
          <w:color w:val="000000"/>
          <w:sz w:val="32"/>
          <w:szCs w:val="32"/>
          <w:u w:val="single"/>
          <w:rtl/>
        </w:rPr>
        <w:t> </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1.         זוהי בקשה מטעם הנתבעים להורות על דחיית התביעה על הסף מחמת התיישנות.</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xml:space="preserve">2.         התובעת נפגעה בתאונת דרכים ביום 16.11.99, שעה שנהגה בעגלה הרתומה לסוס בכביש המוביל מדרום לצפון, מצומת הגוש לצומת יגאל. בכל המועדים הרלבנטיים לתאונה </w:t>
      </w:r>
      <w:proofErr w:type="spellStart"/>
      <w:r w:rsidRPr="0092533D">
        <w:rPr>
          <w:rFonts w:ascii="David" w:eastAsia="Times New Roman" w:hAnsi="David" w:cs="David"/>
          <w:color w:val="000000"/>
          <w:sz w:val="24"/>
          <w:szCs w:val="24"/>
          <w:rtl/>
        </w:rPr>
        <w:t>היתה</w:t>
      </w:r>
      <w:proofErr w:type="spellEnd"/>
      <w:r w:rsidRPr="0092533D">
        <w:rPr>
          <w:rFonts w:ascii="David" w:eastAsia="Times New Roman" w:hAnsi="David" w:cs="David"/>
          <w:color w:val="000000"/>
          <w:sz w:val="24"/>
          <w:szCs w:val="24"/>
          <w:rtl/>
        </w:rPr>
        <w:t xml:space="preserve"> התובעת תושבת רצועת עזה ואף התאונה ארעה בשטחי רצועת עזה.</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3.         הנתבעים עותרים לדחיית התביעה על הסף מחמת התיישנות.</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הנתבעים סבורים כי על התאונה חלות הוראות צו הפיצויים לנפגעי תאונות דרכים (אזור חבל עזה) (מס' 544) תשל"ז-1976 (להלן: </w:t>
      </w:r>
      <w:r w:rsidRPr="0092533D">
        <w:rPr>
          <w:rFonts w:ascii="David" w:eastAsia="Times New Roman" w:hAnsi="David" w:cs="David"/>
          <w:b/>
          <w:bCs/>
          <w:color w:val="000000"/>
          <w:sz w:val="24"/>
          <w:szCs w:val="24"/>
          <w:rtl/>
        </w:rPr>
        <w:t>"צו הפיצויים"), </w:t>
      </w:r>
      <w:r w:rsidRPr="0092533D">
        <w:rPr>
          <w:rFonts w:ascii="David" w:eastAsia="Times New Roman" w:hAnsi="David" w:cs="David"/>
          <w:color w:val="000000"/>
          <w:sz w:val="24"/>
          <w:szCs w:val="24"/>
          <w:rtl/>
        </w:rPr>
        <w:t xml:space="preserve">המפנה לסעיף 68 לפקודת </w:t>
      </w:r>
      <w:proofErr w:type="spellStart"/>
      <w:r w:rsidRPr="0092533D">
        <w:rPr>
          <w:rFonts w:ascii="David" w:eastAsia="Times New Roman" w:hAnsi="David" w:cs="David"/>
          <w:color w:val="000000"/>
          <w:sz w:val="24"/>
          <w:szCs w:val="24"/>
          <w:rtl/>
        </w:rPr>
        <w:t>הנזיקים</w:t>
      </w:r>
      <w:proofErr w:type="spellEnd"/>
      <w:r w:rsidRPr="0092533D">
        <w:rPr>
          <w:rFonts w:ascii="David" w:eastAsia="Times New Roman" w:hAnsi="David" w:cs="David"/>
          <w:color w:val="000000"/>
          <w:sz w:val="24"/>
          <w:szCs w:val="24"/>
          <w:rtl/>
        </w:rPr>
        <w:t xml:space="preserve"> האזרחיים 1944 הקובע תקופת התיישנות של שנתיים.</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לטענת הנתבעים, בהתאם לצו הפיצויים ולהלכה שנפסקה בע"א 6860/01 </w:t>
      </w:r>
      <w:proofErr w:type="spellStart"/>
      <w:r w:rsidRPr="0092533D">
        <w:rPr>
          <w:rFonts w:ascii="David" w:eastAsia="Times New Roman" w:hAnsi="David" w:cs="David"/>
          <w:b/>
          <w:bCs/>
          <w:color w:val="000000"/>
          <w:sz w:val="24"/>
          <w:szCs w:val="24"/>
          <w:rtl/>
        </w:rPr>
        <w:t>עבדאלרחמן</w:t>
      </w:r>
      <w:proofErr w:type="spellEnd"/>
      <w:r w:rsidRPr="0092533D">
        <w:rPr>
          <w:rFonts w:ascii="David" w:eastAsia="Times New Roman" w:hAnsi="David" w:cs="David"/>
          <w:b/>
          <w:bCs/>
          <w:color w:val="000000"/>
          <w:sz w:val="24"/>
          <w:szCs w:val="24"/>
          <w:rtl/>
        </w:rPr>
        <w:t xml:space="preserve"> מוסא </w:t>
      </w:r>
      <w:proofErr w:type="spellStart"/>
      <w:r w:rsidRPr="0092533D">
        <w:rPr>
          <w:rFonts w:ascii="David" w:eastAsia="Times New Roman" w:hAnsi="David" w:cs="David"/>
          <w:b/>
          <w:bCs/>
          <w:color w:val="000000"/>
          <w:sz w:val="24"/>
          <w:szCs w:val="24"/>
          <w:rtl/>
        </w:rPr>
        <w:t>חמאדה</w:t>
      </w:r>
      <w:proofErr w:type="spellEnd"/>
      <w:r w:rsidRPr="0092533D">
        <w:rPr>
          <w:rFonts w:ascii="David" w:eastAsia="Times New Roman" w:hAnsi="David" w:cs="David"/>
          <w:b/>
          <w:bCs/>
          <w:color w:val="000000"/>
          <w:sz w:val="24"/>
          <w:szCs w:val="24"/>
          <w:rtl/>
        </w:rPr>
        <w:t xml:space="preserve"> נ' המאגר הישראלי לביטוח רכב </w:t>
      </w:r>
      <w:r w:rsidRPr="0092533D">
        <w:rPr>
          <w:rFonts w:ascii="David" w:eastAsia="Times New Roman" w:hAnsi="David" w:cs="David"/>
          <w:color w:val="000000"/>
          <w:sz w:val="24"/>
          <w:szCs w:val="24"/>
          <w:rtl/>
        </w:rPr>
        <w:t xml:space="preserve">פ"ד </w:t>
      </w:r>
      <w:proofErr w:type="spellStart"/>
      <w:r w:rsidRPr="0092533D">
        <w:rPr>
          <w:rFonts w:ascii="David" w:eastAsia="Times New Roman" w:hAnsi="David" w:cs="David"/>
          <w:color w:val="000000"/>
          <w:sz w:val="24"/>
          <w:szCs w:val="24"/>
          <w:rtl/>
        </w:rPr>
        <w:t>נז</w:t>
      </w:r>
      <w:proofErr w:type="spellEnd"/>
      <w:r w:rsidRPr="0092533D">
        <w:rPr>
          <w:rFonts w:ascii="David" w:eastAsia="Times New Roman" w:hAnsi="David" w:cs="David"/>
          <w:color w:val="000000"/>
          <w:sz w:val="24"/>
          <w:szCs w:val="24"/>
          <w:rtl/>
        </w:rPr>
        <w:t xml:space="preserve"> (3)8 (להלן – "הלכת חמדה"), תקופת ההתיישנות בתביעות בגין תאונות דרכים </w:t>
      </w:r>
      <w:proofErr w:type="spellStart"/>
      <w:r w:rsidRPr="0092533D">
        <w:rPr>
          <w:rFonts w:ascii="David" w:eastAsia="Times New Roman" w:hAnsi="David" w:cs="David"/>
          <w:color w:val="000000"/>
          <w:sz w:val="24"/>
          <w:szCs w:val="24"/>
          <w:rtl/>
        </w:rPr>
        <w:t>שארעו</w:t>
      </w:r>
      <w:proofErr w:type="spellEnd"/>
      <w:r w:rsidRPr="0092533D">
        <w:rPr>
          <w:rFonts w:ascii="David" w:eastAsia="Times New Roman" w:hAnsi="David" w:cs="David"/>
          <w:color w:val="000000"/>
          <w:sz w:val="24"/>
          <w:szCs w:val="24"/>
          <w:rtl/>
        </w:rPr>
        <w:t xml:space="preserve"> לתושבי השטחים המוחזקים ובאזור השטחים המוחזקים הינו שנתיים מיום התאונה.</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לטענתם, התביעה הוגשה ביום 26.1.04, דהיינו: למעלה מארבע שנים לאחר התאונה. מאחר והתביעה הוגשה לאחר חלוף שנתיים מיום התאונה – התיישנה התביעה ויש לדחותה על הסף.</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lastRenderedPageBreak/>
        <w:t> </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4.         התובעת מתנגדת לבקשה.</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xml:space="preserve">לטענת התובעת, המקרה דנן שונה בנסיבותיו מן הנסיבות שנדונו בהלכת </w:t>
      </w:r>
      <w:proofErr w:type="spellStart"/>
      <w:r w:rsidRPr="0092533D">
        <w:rPr>
          <w:rFonts w:ascii="David" w:eastAsia="Times New Roman" w:hAnsi="David" w:cs="David"/>
          <w:color w:val="000000"/>
          <w:sz w:val="24"/>
          <w:szCs w:val="24"/>
          <w:rtl/>
        </w:rPr>
        <w:t>חמאדה</w:t>
      </w:r>
      <w:proofErr w:type="spellEnd"/>
      <w:r w:rsidRPr="0092533D">
        <w:rPr>
          <w:rFonts w:ascii="David" w:eastAsia="Times New Roman" w:hAnsi="David" w:cs="David"/>
          <w:color w:val="000000"/>
          <w:sz w:val="24"/>
          <w:szCs w:val="24"/>
          <w:rtl/>
        </w:rPr>
        <w:t xml:space="preserve">. בהלכת </w:t>
      </w:r>
      <w:proofErr w:type="spellStart"/>
      <w:r w:rsidRPr="0092533D">
        <w:rPr>
          <w:rFonts w:ascii="David" w:eastAsia="Times New Roman" w:hAnsi="David" w:cs="David"/>
          <w:color w:val="000000"/>
          <w:sz w:val="24"/>
          <w:szCs w:val="24"/>
          <w:rtl/>
        </w:rPr>
        <w:t>חמאדה</w:t>
      </w:r>
      <w:proofErr w:type="spellEnd"/>
      <w:r w:rsidRPr="0092533D">
        <w:rPr>
          <w:rFonts w:ascii="David" w:eastAsia="Times New Roman" w:hAnsi="David" w:cs="David"/>
          <w:color w:val="000000"/>
          <w:sz w:val="24"/>
          <w:szCs w:val="24"/>
          <w:rtl/>
        </w:rPr>
        <w:t xml:space="preserve"> היה המדובר בתובע, נהג פלסטיני, אשר נהג ברכב פלסטיני ונפגע בעזה. </w:t>
      </w:r>
      <w:proofErr w:type="spellStart"/>
      <w:r w:rsidRPr="0092533D">
        <w:rPr>
          <w:rFonts w:ascii="David" w:eastAsia="Times New Roman" w:hAnsi="David" w:cs="David"/>
          <w:color w:val="000000"/>
          <w:sz w:val="24"/>
          <w:szCs w:val="24"/>
          <w:rtl/>
        </w:rPr>
        <w:t>בדנן</w:t>
      </w:r>
      <w:proofErr w:type="spellEnd"/>
      <w:r w:rsidRPr="0092533D">
        <w:rPr>
          <w:rFonts w:ascii="David" w:eastAsia="Times New Roman" w:hAnsi="David" w:cs="David"/>
          <w:color w:val="000000"/>
          <w:sz w:val="24"/>
          <w:szCs w:val="24"/>
          <w:rtl/>
        </w:rPr>
        <w:t xml:space="preserve">, התובעת שהינה פלסטינית נפגעה מרכב  ישראלי אשר בוטח ע"י חברת ביטוח ישראלית. בנוסף, התאונה ארעה בגוש קטיף שהינו בשליטה ישראלית וזאת, סבור ב"כ התובעת, בניגוד להלכת </w:t>
      </w:r>
      <w:proofErr w:type="spellStart"/>
      <w:r w:rsidRPr="0092533D">
        <w:rPr>
          <w:rFonts w:ascii="David" w:eastAsia="Times New Roman" w:hAnsi="David" w:cs="David"/>
          <w:color w:val="000000"/>
          <w:sz w:val="24"/>
          <w:szCs w:val="24"/>
          <w:rtl/>
        </w:rPr>
        <w:t>חמאדה</w:t>
      </w:r>
      <w:proofErr w:type="spellEnd"/>
      <w:r w:rsidRPr="0092533D">
        <w:rPr>
          <w:rFonts w:ascii="David" w:eastAsia="Times New Roman" w:hAnsi="David" w:cs="David"/>
          <w:color w:val="000000"/>
          <w:sz w:val="24"/>
          <w:szCs w:val="24"/>
          <w:rtl/>
        </w:rPr>
        <w:t xml:space="preserve"> אשר ארעה בעזה המצויה בשליטה פלסטינית.</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לטענת התובעת, הואיל והמדובר בתאונת דרכים בה מעורבים נהג ורכב ישראלים והיות והתאונה התרחשה בגוש קטיף, הרי שיש להחיל את הדין הישראלי במקרה שלפנינו.</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5.         הנתבעים הגישו תשובה לתגובת המשיבה.</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לטענת הנתבעים, חוק הפיצויים לנפגעי תאונות דרכים, תשל"ה-1975 (להלן: </w:t>
      </w:r>
      <w:r w:rsidRPr="0092533D">
        <w:rPr>
          <w:rFonts w:ascii="David" w:eastAsia="Times New Roman" w:hAnsi="David" w:cs="David"/>
          <w:b/>
          <w:bCs/>
          <w:color w:val="000000"/>
          <w:sz w:val="24"/>
          <w:szCs w:val="24"/>
          <w:rtl/>
        </w:rPr>
        <w:t>"חוק הפיצויים"</w:t>
      </w:r>
      <w:r w:rsidRPr="0092533D">
        <w:rPr>
          <w:rFonts w:ascii="David" w:eastAsia="Times New Roman" w:hAnsi="David" w:cs="David"/>
          <w:color w:val="000000"/>
          <w:sz w:val="24"/>
          <w:szCs w:val="24"/>
          <w:rtl/>
        </w:rPr>
        <w:t xml:space="preserve">) הינו חוק בעל תחולה טריטוריאלית וככלל חל על תאונות דרכים שאירעו בתחומי מדינת ישראל בלבד. אין חולק כי מהתיאורים המופיעים בכתב התביעה ומתגובתה של התובעת לבקשה עולה, כי התאונה לא ארעה בשטח מדינת ישראל אלא בשטחים המוחזקים. סעיף 2(א1) לחוק הפיצויים הקובע חריג לתחולה הטריטוריאלית של חוק הפיצויים אינו חל במקרה דנן, </w:t>
      </w:r>
      <w:proofErr w:type="spellStart"/>
      <w:r w:rsidRPr="0092533D">
        <w:rPr>
          <w:rFonts w:ascii="David" w:eastAsia="Times New Roman" w:hAnsi="David" w:cs="David"/>
          <w:color w:val="000000"/>
          <w:sz w:val="24"/>
          <w:szCs w:val="24"/>
          <w:rtl/>
        </w:rPr>
        <w:t>משעסקינן</w:t>
      </w:r>
      <w:proofErr w:type="spellEnd"/>
      <w:r w:rsidRPr="0092533D">
        <w:rPr>
          <w:rFonts w:ascii="David" w:eastAsia="Times New Roman" w:hAnsi="David" w:cs="David"/>
          <w:color w:val="000000"/>
          <w:sz w:val="24"/>
          <w:szCs w:val="24"/>
          <w:rtl/>
        </w:rPr>
        <w:t xml:space="preserve"> בתובעת שאינה ישראלית.</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xml:space="preserve">עוד טוענים הנתבעים, כי גם משמו של צו הפיצויים ניתן ללמוד כי תחולתו הינה על תאונות דרכים </w:t>
      </w:r>
      <w:proofErr w:type="spellStart"/>
      <w:r w:rsidRPr="0092533D">
        <w:rPr>
          <w:rFonts w:ascii="David" w:eastAsia="Times New Roman" w:hAnsi="David" w:cs="David"/>
          <w:color w:val="000000"/>
          <w:sz w:val="24"/>
          <w:szCs w:val="24"/>
          <w:rtl/>
        </w:rPr>
        <w:t>שארעו</w:t>
      </w:r>
      <w:proofErr w:type="spellEnd"/>
      <w:r w:rsidRPr="0092533D">
        <w:rPr>
          <w:rFonts w:ascii="David" w:eastAsia="Times New Roman" w:hAnsi="David" w:cs="David"/>
          <w:color w:val="000000"/>
          <w:sz w:val="24"/>
          <w:szCs w:val="24"/>
          <w:rtl/>
        </w:rPr>
        <w:t xml:space="preserve"> בשטח חבל עזה ולא רק ברחובות העיר עזה.</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6.         </w:t>
      </w:r>
      <w:r w:rsidRPr="0092533D">
        <w:rPr>
          <w:rFonts w:ascii="David" w:eastAsia="Times New Roman" w:hAnsi="David" w:cs="David"/>
          <w:b/>
          <w:bCs/>
          <w:color w:val="000000"/>
          <w:sz w:val="24"/>
          <w:szCs w:val="24"/>
          <w:u w:val="single"/>
          <w:rtl/>
        </w:rPr>
        <w:t>דיון</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הנני מקבלת את עמדת הנתבעים כי התביעה התיישנה ודינה להידחות.</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צודקים הנתבעים כי תחולת חוק הפיצויים הינה טריטוריאלית והחוק חל על תאונות דרכים שאירעו בתחומי מדינת ישראל בלבד (ראה ריבלין, </w:t>
      </w:r>
      <w:r w:rsidRPr="0092533D">
        <w:rPr>
          <w:rFonts w:ascii="David" w:eastAsia="Times New Roman" w:hAnsi="David" w:cs="David"/>
          <w:b/>
          <w:bCs/>
          <w:color w:val="000000"/>
          <w:sz w:val="24"/>
          <w:szCs w:val="24"/>
          <w:rtl/>
        </w:rPr>
        <w:t>תאונת הדרכים סדרי דין וחישוב הפיצויים,</w:t>
      </w:r>
      <w:r w:rsidRPr="0092533D">
        <w:rPr>
          <w:rFonts w:ascii="David" w:eastAsia="Times New Roman" w:hAnsi="David" w:cs="David"/>
          <w:color w:val="000000"/>
          <w:sz w:val="24"/>
          <w:szCs w:val="24"/>
          <w:rtl/>
        </w:rPr>
        <w:t> מהדורה חדשה ומעודכנת, עמ' 309).</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יחד עם זאת, לכלל זה קיים חריג בסעיף 2 (א1) לחוק הפיצויים, הקובע כדלהלן:</w:t>
      </w:r>
    </w:p>
    <w:p w:rsidR="0092533D" w:rsidRPr="0092533D" w:rsidRDefault="0092533D" w:rsidP="0092533D">
      <w:pPr>
        <w:spacing w:after="0" w:line="300" w:lineRule="atLeast"/>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1440" w:hanging="720"/>
        <w:jc w:val="both"/>
        <w:rPr>
          <w:rFonts w:ascii="Times New Roman" w:eastAsia="Times New Roman" w:hAnsi="Times New Roman" w:cs="Times New Roman"/>
          <w:b/>
          <w:bCs/>
          <w:color w:val="000000"/>
          <w:sz w:val="20"/>
          <w:szCs w:val="20"/>
          <w:rtl/>
        </w:rPr>
      </w:pPr>
      <w:r w:rsidRPr="0092533D">
        <w:rPr>
          <w:rFonts w:ascii="David" w:eastAsia="Times New Roman" w:hAnsi="David" w:cs="David"/>
          <w:b/>
          <w:bCs/>
          <w:color w:val="000000"/>
          <w:sz w:val="24"/>
          <w:szCs w:val="24"/>
          <w:rtl/>
        </w:rPr>
        <w:t>"(א1)    הנוהג ברכב ישראלי חייב לפצות נפגע שהוא ישראלי או תייר חוץ על נזק גוף שנגרם לו בתאונת דרכים שבה מעורב הרכב אף אם התאונה אירעה באזור או בשטחי האחריות האזרחית הפלסטינית או באזורים וייראו את התאונה כאילו אירעה בישראל;</w:t>
      </w:r>
    </w:p>
    <w:p w:rsidR="0092533D" w:rsidRPr="0092533D" w:rsidRDefault="0092533D" w:rsidP="0092533D">
      <w:pPr>
        <w:spacing w:after="0" w:line="300" w:lineRule="atLeast"/>
        <w:ind w:left="1440" w:hanging="720"/>
        <w:jc w:val="both"/>
        <w:rPr>
          <w:rFonts w:ascii="Times New Roman" w:eastAsia="Times New Roman" w:hAnsi="Times New Roman" w:cs="Times New Roman"/>
          <w:color w:val="000000"/>
          <w:sz w:val="20"/>
          <w:szCs w:val="20"/>
          <w:rtl/>
        </w:rPr>
      </w:pPr>
      <w:r w:rsidRPr="0092533D">
        <w:rPr>
          <w:rFonts w:ascii="David" w:eastAsia="Times New Roman" w:hAnsi="David" w:cs="David"/>
          <w:b/>
          <w:bCs/>
          <w:color w:val="000000"/>
          <w:sz w:val="24"/>
          <w:szCs w:val="24"/>
          <w:rtl/>
        </w:rPr>
        <w:t>            לעניין סעיף זה –</w:t>
      </w:r>
    </w:p>
    <w:p w:rsidR="0092533D" w:rsidRPr="0092533D" w:rsidRDefault="0092533D" w:rsidP="0092533D">
      <w:pPr>
        <w:spacing w:after="0" w:line="300" w:lineRule="atLeast"/>
        <w:ind w:left="1440" w:hanging="720"/>
        <w:jc w:val="both"/>
        <w:rPr>
          <w:rFonts w:ascii="Times New Roman" w:eastAsia="Times New Roman" w:hAnsi="Times New Roman" w:cs="Times New Roman"/>
          <w:color w:val="000000"/>
          <w:sz w:val="20"/>
          <w:szCs w:val="20"/>
          <w:rtl/>
        </w:rPr>
      </w:pPr>
      <w:r w:rsidRPr="0092533D">
        <w:rPr>
          <w:rFonts w:ascii="David" w:eastAsia="Times New Roman" w:hAnsi="David" w:cs="David"/>
          <w:b/>
          <w:bCs/>
          <w:color w:val="000000"/>
          <w:sz w:val="24"/>
          <w:szCs w:val="24"/>
          <w:rtl/>
        </w:rPr>
        <w:t>            "תייר חוץ" – כמשמעותו בחוק שרותי תיירות, התשל"ו-1976, למעט תושב האזור או תושב שטחי האחריות האזרחית הפלסטינית, ובלבד שהוא נפגע במהלך סיור כמשמעותו בחוק האמור;</w:t>
      </w:r>
    </w:p>
    <w:p w:rsidR="0092533D" w:rsidRPr="0092533D" w:rsidRDefault="0092533D" w:rsidP="0092533D">
      <w:pPr>
        <w:spacing w:after="0" w:line="300" w:lineRule="atLeast"/>
        <w:ind w:left="1440" w:hanging="720"/>
        <w:jc w:val="both"/>
        <w:rPr>
          <w:rFonts w:ascii="Times New Roman" w:eastAsia="Times New Roman" w:hAnsi="Times New Roman" w:cs="Times New Roman"/>
          <w:color w:val="000000"/>
          <w:sz w:val="20"/>
          <w:szCs w:val="20"/>
          <w:rtl/>
        </w:rPr>
      </w:pPr>
      <w:r w:rsidRPr="0092533D">
        <w:rPr>
          <w:rFonts w:ascii="David" w:eastAsia="Times New Roman" w:hAnsi="David" w:cs="David"/>
          <w:b/>
          <w:bCs/>
          <w:color w:val="000000"/>
          <w:sz w:val="24"/>
          <w:szCs w:val="24"/>
          <w:rtl/>
        </w:rPr>
        <w:t>            "רכב ישראלי" – רכב הרשום בישראל או החייב ברישום בישראל לפי כל דין, או רכב שאינו חייב ברישום שבעליו הוא ישראלי".</w:t>
      </w:r>
    </w:p>
    <w:p w:rsidR="0092533D" w:rsidRPr="0092533D" w:rsidRDefault="0092533D" w:rsidP="0092533D">
      <w:pPr>
        <w:spacing w:after="0" w:line="300" w:lineRule="atLeast"/>
        <w:ind w:left="144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144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lastRenderedPageBreak/>
        <w:t>7.         לפיכך, נוהג ברכב ישראלי יפצה נפגע ישראלי או תייר חוץ על נזק גוף שנגרם לו בתאונת דרכים שבה מעורב הרכב אף אם התאונה ארעה בשטחים המוחזקים או באחריות האזרחית הפלסטינית, והדין המהותי אשר חל על התאונה אינו דין השטחים כי אם המשפט הישראלי (ריבלין, שם, עמ' 317).</w:t>
      </w:r>
    </w:p>
    <w:p w:rsidR="0092533D" w:rsidRPr="0092533D" w:rsidRDefault="0092533D" w:rsidP="0092533D">
      <w:pPr>
        <w:spacing w:after="0" w:line="300" w:lineRule="atLeast"/>
        <w:ind w:left="720" w:hanging="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8.         במקרה דנן, התובעת הינה תושבת השטחים, ואינה בבחינת תיירת. התאונה ארעה בגוש קטיף אשר מצוי מחוץ לתחומי מדינת ישראל. מטעמים אלה אין תחולה לחריג שבסעיף 2(א1) לחוק הפיצויים.</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לכך יש להוסיף כי על פי סעיף 3(ג) לפקודת ביטוח רכב מנועי (נוסח חדש) תש"ל-1970, על תאונת דרכים אשר ארעה בשטחים חל דין המקום (ראה ע"א (מחוזי-ת"א) 2834/00 </w:t>
      </w:r>
      <w:r w:rsidRPr="0092533D">
        <w:rPr>
          <w:rFonts w:ascii="David" w:eastAsia="Times New Roman" w:hAnsi="David" w:cs="David"/>
          <w:b/>
          <w:bCs/>
          <w:color w:val="000000"/>
          <w:sz w:val="24"/>
          <w:szCs w:val="24"/>
          <w:rtl/>
        </w:rPr>
        <w:t xml:space="preserve">אבו </w:t>
      </w:r>
      <w:proofErr w:type="spellStart"/>
      <w:r w:rsidRPr="0092533D">
        <w:rPr>
          <w:rFonts w:ascii="David" w:eastAsia="Times New Roman" w:hAnsi="David" w:cs="David"/>
          <w:b/>
          <w:bCs/>
          <w:color w:val="000000"/>
          <w:sz w:val="24"/>
          <w:szCs w:val="24"/>
          <w:rtl/>
        </w:rPr>
        <w:t>סמאחה</w:t>
      </w:r>
      <w:proofErr w:type="spellEnd"/>
      <w:r w:rsidRPr="0092533D">
        <w:rPr>
          <w:rFonts w:ascii="David" w:eastAsia="Times New Roman" w:hAnsi="David" w:cs="David"/>
          <w:b/>
          <w:bCs/>
          <w:color w:val="000000"/>
          <w:sz w:val="24"/>
          <w:szCs w:val="24"/>
          <w:rtl/>
        </w:rPr>
        <w:t xml:space="preserve"> </w:t>
      </w:r>
      <w:proofErr w:type="spellStart"/>
      <w:r w:rsidRPr="0092533D">
        <w:rPr>
          <w:rFonts w:ascii="David" w:eastAsia="Times New Roman" w:hAnsi="David" w:cs="David"/>
          <w:b/>
          <w:bCs/>
          <w:color w:val="000000"/>
          <w:sz w:val="24"/>
          <w:szCs w:val="24"/>
          <w:rtl/>
        </w:rPr>
        <w:t>סלימאן</w:t>
      </w:r>
      <w:proofErr w:type="spellEnd"/>
      <w:r w:rsidRPr="0092533D">
        <w:rPr>
          <w:rFonts w:ascii="David" w:eastAsia="Times New Roman" w:hAnsi="David" w:cs="David"/>
          <w:b/>
          <w:bCs/>
          <w:color w:val="000000"/>
          <w:sz w:val="24"/>
          <w:szCs w:val="24"/>
          <w:rtl/>
        </w:rPr>
        <w:t xml:space="preserve"> ואח' נ' המאגר הישראלי לביטוחי רכב, "הפול", </w:t>
      </w:r>
      <w:r w:rsidRPr="0092533D">
        <w:rPr>
          <w:rFonts w:ascii="David" w:eastAsia="Times New Roman" w:hAnsi="David" w:cs="David"/>
          <w:color w:val="000000"/>
          <w:sz w:val="24"/>
          <w:szCs w:val="24"/>
          <w:rtl/>
        </w:rPr>
        <w:t>דינים מחוזי, כרך לג   (7) 537).</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xml:space="preserve">לאור המצב החוקי דלעיל, יכולה </w:t>
      </w:r>
      <w:proofErr w:type="spellStart"/>
      <w:r w:rsidRPr="0092533D">
        <w:rPr>
          <w:rFonts w:ascii="David" w:eastAsia="Times New Roman" w:hAnsi="David" w:cs="David"/>
          <w:color w:val="000000"/>
          <w:sz w:val="24"/>
          <w:szCs w:val="24"/>
          <w:rtl/>
        </w:rPr>
        <w:t>היתה</w:t>
      </w:r>
      <w:proofErr w:type="spellEnd"/>
      <w:r w:rsidRPr="0092533D">
        <w:rPr>
          <w:rFonts w:ascii="David" w:eastAsia="Times New Roman" w:hAnsi="David" w:cs="David"/>
          <w:color w:val="000000"/>
          <w:sz w:val="24"/>
          <w:szCs w:val="24"/>
          <w:rtl/>
        </w:rPr>
        <w:t xml:space="preserve"> להיות לתובעת עילת תביעה רק על בסיס צו הפיצויים. בהתאם להלכת </w:t>
      </w:r>
      <w:proofErr w:type="spellStart"/>
      <w:r w:rsidRPr="0092533D">
        <w:rPr>
          <w:rFonts w:ascii="David" w:eastAsia="Times New Roman" w:hAnsi="David" w:cs="David"/>
          <w:color w:val="000000"/>
          <w:sz w:val="24"/>
          <w:szCs w:val="24"/>
          <w:rtl/>
        </w:rPr>
        <w:t>חמאדה</w:t>
      </w:r>
      <w:proofErr w:type="spellEnd"/>
      <w:r w:rsidRPr="0092533D">
        <w:rPr>
          <w:rFonts w:ascii="David" w:eastAsia="Times New Roman" w:hAnsi="David" w:cs="David"/>
          <w:color w:val="000000"/>
          <w:sz w:val="24"/>
          <w:szCs w:val="24"/>
          <w:rtl/>
        </w:rPr>
        <w:t xml:space="preserve">, משקמה תחולה לצו הפיצויים, יש להעמיד את תקופת ההתיישנות על שנתיים, בהתאם לסעיף 68 לפקודת </w:t>
      </w:r>
      <w:proofErr w:type="spellStart"/>
      <w:r w:rsidRPr="0092533D">
        <w:rPr>
          <w:rFonts w:ascii="David" w:eastAsia="Times New Roman" w:hAnsi="David" w:cs="David"/>
          <w:color w:val="000000"/>
          <w:sz w:val="24"/>
          <w:szCs w:val="24"/>
          <w:rtl/>
        </w:rPr>
        <w:t>הנזיקים</w:t>
      </w:r>
      <w:proofErr w:type="spellEnd"/>
      <w:r w:rsidRPr="0092533D">
        <w:rPr>
          <w:rFonts w:ascii="David" w:eastAsia="Times New Roman" w:hAnsi="David" w:cs="David"/>
          <w:color w:val="000000"/>
          <w:sz w:val="24"/>
          <w:szCs w:val="24"/>
          <w:rtl/>
        </w:rPr>
        <w:t xml:space="preserve"> האזרחים-1944.</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b/>
          <w:bCs/>
          <w:color w:val="000000"/>
          <w:sz w:val="24"/>
          <w:szCs w:val="24"/>
          <w:rtl/>
        </w:rPr>
        <w:t>אשר על כן, משהתאונה ארעה ביום 16.11.99 וכתב התביעה בגינה הוגש ביום 26.1.04, היינו למעלה משנתיים מאז התרחשות התאונה, הרי שאין מנוס מלקבוע שהתביעה התיישנה ודינה להידחות על הסף.</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b/>
          <w:bCs/>
          <w:color w:val="000000"/>
          <w:sz w:val="24"/>
          <w:szCs w:val="24"/>
          <w:rtl/>
        </w:rPr>
        <w:t> </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b/>
          <w:bCs/>
          <w:color w:val="000000"/>
          <w:sz w:val="24"/>
          <w:szCs w:val="24"/>
          <w:rtl/>
        </w:rPr>
        <w:t>בנסיבות העניין אין צו להוצאות.</w:t>
      </w:r>
    </w:p>
    <w:p w:rsidR="0092533D" w:rsidRPr="0092533D" w:rsidRDefault="0092533D" w:rsidP="0092533D">
      <w:pPr>
        <w:spacing w:after="0" w:line="300" w:lineRule="atLeast"/>
        <w:jc w:val="both"/>
        <w:rPr>
          <w:rFonts w:ascii="Times New Roman" w:eastAsia="Times New Roman" w:hAnsi="Times New Roman" w:cs="Times New Roman"/>
          <w:color w:val="000000"/>
          <w:sz w:val="20"/>
          <w:szCs w:val="20"/>
          <w:rtl/>
        </w:rPr>
      </w:pPr>
      <w:bookmarkStart w:id="7" w:name="Decision1"/>
      <w:r w:rsidRPr="0092533D">
        <w:rPr>
          <w:rFonts w:ascii="David" w:eastAsia="Times New Roman" w:hAnsi="David" w:cs="David"/>
          <w:b/>
          <w:bCs/>
          <w:color w:val="000000"/>
          <w:sz w:val="24"/>
          <w:szCs w:val="24"/>
          <w:rtl/>
        </w:rPr>
        <w:t> </w:t>
      </w:r>
      <w:bookmarkEnd w:id="7"/>
    </w:p>
    <w:p w:rsidR="0092533D" w:rsidRPr="0092533D" w:rsidRDefault="0092533D" w:rsidP="0092533D">
      <w:pPr>
        <w:spacing w:after="0" w:line="300" w:lineRule="atLeast"/>
        <w:jc w:val="both"/>
        <w:rPr>
          <w:rFonts w:ascii="Times New Roman" w:eastAsia="Times New Roman" w:hAnsi="Times New Roman" w:cs="Times New Roman"/>
          <w:color w:val="000000"/>
          <w:sz w:val="20"/>
          <w:szCs w:val="20"/>
          <w:rtl/>
        </w:rPr>
      </w:pPr>
      <w:r w:rsidRPr="0092533D">
        <w:rPr>
          <w:rFonts w:ascii="David" w:eastAsia="Times New Roman" w:hAnsi="David" w:cs="David"/>
          <w:b/>
          <w:bCs/>
          <w:color w:val="000000"/>
          <w:sz w:val="24"/>
          <w:szCs w:val="24"/>
          <w:u w:val="single"/>
          <w:rtl/>
        </w:rPr>
        <w:t> </w:t>
      </w:r>
    </w:p>
    <w:p w:rsidR="0092533D" w:rsidRPr="0092533D" w:rsidRDefault="0092533D" w:rsidP="0092533D">
      <w:pPr>
        <w:spacing w:after="0" w:line="300" w:lineRule="atLeast"/>
        <w:ind w:left="720"/>
        <w:jc w:val="both"/>
        <w:rPr>
          <w:rFonts w:ascii="Times New Roman" w:eastAsia="Times New Roman" w:hAnsi="Times New Roman" w:cs="Times New Roman"/>
          <w:color w:val="000000"/>
          <w:sz w:val="20"/>
          <w:szCs w:val="20"/>
          <w:rtl/>
        </w:rPr>
      </w:pPr>
      <w:r w:rsidRPr="0092533D">
        <w:rPr>
          <w:rFonts w:ascii="David" w:eastAsia="Times New Roman" w:hAnsi="David" w:cs="David"/>
          <w:b/>
          <w:bCs/>
          <w:color w:val="000000"/>
          <w:sz w:val="24"/>
          <w:szCs w:val="24"/>
          <w:u w:val="single"/>
          <w:rtl/>
        </w:rPr>
        <w:t>המזכירות תשלח לב"כ הצדדים עותק מפסק הדין.</w:t>
      </w:r>
      <w:bookmarkStart w:id="8" w:name="Decision2"/>
      <w:bookmarkEnd w:id="8"/>
    </w:p>
    <w:p w:rsidR="0092533D" w:rsidRPr="0092533D" w:rsidRDefault="0092533D" w:rsidP="0092533D">
      <w:pPr>
        <w:spacing w:after="0" w:line="300" w:lineRule="atLeast"/>
        <w:jc w:val="both"/>
        <w:rPr>
          <w:rFonts w:ascii="Times New Roman" w:eastAsia="Times New Roman" w:hAnsi="Times New Roman" w:cs="Times New Roman"/>
          <w:color w:val="000000"/>
          <w:sz w:val="20"/>
          <w:szCs w:val="20"/>
          <w:rtl/>
        </w:rPr>
      </w:pPr>
      <w:bookmarkStart w:id="9" w:name="Decision3"/>
      <w:r w:rsidRPr="0092533D">
        <w:rPr>
          <w:rFonts w:ascii="David" w:eastAsia="Times New Roman" w:hAnsi="David" w:cs="David"/>
          <w:b/>
          <w:bCs/>
          <w:color w:val="000000"/>
          <w:sz w:val="28"/>
          <w:szCs w:val="28"/>
          <w:rtl/>
        </w:rPr>
        <w:t> </w:t>
      </w:r>
      <w:bookmarkEnd w:id="9"/>
    </w:p>
    <w:p w:rsidR="0092533D" w:rsidRPr="0092533D" w:rsidRDefault="0092533D" w:rsidP="0092533D">
      <w:pPr>
        <w:spacing w:after="0" w:line="300" w:lineRule="atLeast"/>
        <w:ind w:firstLine="720"/>
        <w:jc w:val="both"/>
        <w:rPr>
          <w:rFonts w:ascii="Times New Roman" w:eastAsia="Times New Roman" w:hAnsi="Times New Roman" w:cs="Times New Roman"/>
          <w:color w:val="000000"/>
          <w:sz w:val="20"/>
          <w:szCs w:val="20"/>
          <w:rtl/>
        </w:rPr>
      </w:pPr>
      <w:r w:rsidRPr="0092533D">
        <w:rPr>
          <w:rFonts w:ascii="David" w:eastAsia="Times New Roman" w:hAnsi="David" w:cs="David"/>
          <w:b/>
          <w:bCs/>
          <w:color w:val="000000"/>
          <w:sz w:val="24"/>
          <w:szCs w:val="24"/>
          <w:rtl/>
        </w:rPr>
        <w:t>ניתן היום י"א בתשרי, תשס"ה (26 בספטמבר 2004) בהעדר הצדדים.</w:t>
      </w:r>
    </w:p>
    <w:p w:rsidR="0092533D" w:rsidRPr="0092533D" w:rsidRDefault="0092533D" w:rsidP="0092533D">
      <w:pPr>
        <w:spacing w:after="0" w:line="300" w:lineRule="atLeast"/>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8"/>
          <w:szCs w:val="28"/>
          <w:rtl/>
        </w:rPr>
        <w:t> </w:t>
      </w:r>
    </w:p>
    <w:p w:rsidR="0092533D" w:rsidRPr="0092533D" w:rsidRDefault="0092533D" w:rsidP="0092533D">
      <w:pPr>
        <w:spacing w:after="0" w:line="300" w:lineRule="atLeast"/>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sz w:val="24"/>
          <w:szCs w:val="24"/>
          <w:rtl/>
        </w:rPr>
        <w:t>                                                                                </w:t>
      </w:r>
    </w:p>
    <w:tbl>
      <w:tblPr>
        <w:tblW w:w="0" w:type="auto"/>
        <w:jc w:val="right"/>
        <w:tblCellMar>
          <w:left w:w="0" w:type="dxa"/>
          <w:right w:w="0" w:type="dxa"/>
        </w:tblCellMar>
        <w:tblLook w:val="04A0" w:firstRow="1" w:lastRow="0" w:firstColumn="1" w:lastColumn="0" w:noHBand="0" w:noVBand="1"/>
      </w:tblPr>
      <w:tblGrid>
        <w:gridCol w:w="2518"/>
      </w:tblGrid>
      <w:tr w:rsidR="0092533D" w:rsidRPr="0092533D" w:rsidTr="0092533D">
        <w:trPr>
          <w:jc w:val="right"/>
        </w:trPr>
        <w:tc>
          <w:tcPr>
            <w:tcW w:w="2518" w:type="dxa"/>
            <w:tcBorders>
              <w:top w:val="single" w:sz="4" w:space="0" w:color="auto"/>
              <w:left w:val="nil"/>
              <w:bottom w:val="nil"/>
              <w:right w:val="nil"/>
            </w:tcBorders>
            <w:tcMar>
              <w:top w:w="0" w:type="dxa"/>
              <w:left w:w="108" w:type="dxa"/>
              <w:bottom w:w="0" w:type="dxa"/>
              <w:right w:w="108" w:type="dxa"/>
            </w:tcMar>
            <w:hideMark/>
          </w:tcPr>
          <w:p w:rsidR="0092533D" w:rsidRPr="0092533D" w:rsidRDefault="0092533D" w:rsidP="0092533D">
            <w:pPr>
              <w:spacing w:after="0" w:line="300" w:lineRule="atLeast"/>
              <w:jc w:val="center"/>
              <w:rPr>
                <w:rFonts w:ascii="Times New Roman" w:eastAsia="Times New Roman" w:hAnsi="Times New Roman" w:cs="Times New Roman"/>
                <w:sz w:val="20"/>
                <w:szCs w:val="20"/>
                <w:rtl/>
              </w:rPr>
            </w:pPr>
            <w:r w:rsidRPr="0092533D">
              <w:rPr>
                <w:rFonts w:ascii="David" w:eastAsia="Times New Roman" w:hAnsi="David" w:cs="David"/>
                <w:b/>
                <w:bCs/>
                <w:color w:val="000000"/>
                <w:sz w:val="28"/>
                <w:szCs w:val="28"/>
                <w:rtl/>
              </w:rPr>
              <w:t>אגי זהבה, שופטת</w:t>
            </w:r>
          </w:p>
        </w:tc>
      </w:tr>
    </w:tbl>
    <w:p w:rsidR="0092533D" w:rsidRPr="0092533D" w:rsidRDefault="0092533D" w:rsidP="0092533D">
      <w:pPr>
        <w:spacing w:after="0" w:line="300" w:lineRule="atLeast"/>
        <w:jc w:val="both"/>
        <w:rPr>
          <w:rFonts w:ascii="Times New Roman" w:eastAsia="Times New Roman" w:hAnsi="Times New Roman" w:cs="Times New Roman"/>
          <w:color w:val="000000"/>
          <w:sz w:val="20"/>
          <w:szCs w:val="20"/>
          <w:rtl/>
        </w:rPr>
      </w:pPr>
      <w:r w:rsidRPr="0092533D">
        <w:rPr>
          <w:rFonts w:ascii="David" w:eastAsia="Times New Roman" w:hAnsi="David" w:cs="David"/>
          <w:b/>
          <w:bCs/>
          <w:color w:val="000000"/>
          <w:sz w:val="28"/>
          <w:szCs w:val="28"/>
          <w:rtl/>
        </w:rPr>
        <w:t> </w:t>
      </w:r>
    </w:p>
    <w:p w:rsidR="0092533D" w:rsidRPr="0092533D" w:rsidRDefault="0092533D" w:rsidP="0092533D">
      <w:pPr>
        <w:spacing w:after="0" w:line="300" w:lineRule="atLeast"/>
        <w:jc w:val="both"/>
        <w:rPr>
          <w:rFonts w:ascii="Times New Roman" w:eastAsia="Times New Roman" w:hAnsi="Times New Roman" w:cs="Times New Roman"/>
          <w:color w:val="000000"/>
          <w:sz w:val="20"/>
          <w:szCs w:val="20"/>
          <w:rtl/>
        </w:rPr>
      </w:pPr>
      <w:r w:rsidRPr="0092533D">
        <w:rPr>
          <w:rFonts w:ascii="David" w:eastAsia="Times New Roman" w:hAnsi="David" w:cs="David"/>
          <w:color w:val="000000"/>
          <w:rtl/>
        </w:rPr>
        <w:t>הקלדה: פנינה ש.</w:t>
      </w:r>
    </w:p>
    <w:p w:rsidR="0092533D" w:rsidRDefault="0092533D"/>
    <w:sectPr w:rsidR="0092533D" w:rsidSect="003B6F2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3D"/>
    <w:rsid w:val="003B6F26"/>
    <w:rsid w:val="009253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FA11A-884E-469D-9E3C-58401FAB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4">
    <w:name w:val="heading 4"/>
    <w:basedOn w:val="a"/>
    <w:link w:val="40"/>
    <w:uiPriority w:val="9"/>
    <w:qFormat/>
    <w:rsid w:val="0092533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92533D"/>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92533D"/>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92533D"/>
    <w:rPr>
      <w:rFonts w:ascii="Times New Roman" w:eastAsia="Times New Roman" w:hAnsi="Times New Roman" w:cs="Times New Roman"/>
      <w:b/>
      <w:bCs/>
      <w:sz w:val="24"/>
      <w:szCs w:val="24"/>
    </w:rPr>
  </w:style>
  <w:style w:type="character" w:customStyle="1" w:styleId="50">
    <w:name w:val="כותרת 5 תו"/>
    <w:basedOn w:val="a0"/>
    <w:link w:val="5"/>
    <w:uiPriority w:val="9"/>
    <w:rsid w:val="0092533D"/>
    <w:rPr>
      <w:rFonts w:ascii="Times New Roman" w:eastAsia="Times New Roman" w:hAnsi="Times New Roman" w:cs="Times New Roman"/>
      <w:b/>
      <w:bCs/>
      <w:sz w:val="20"/>
      <w:szCs w:val="20"/>
    </w:rPr>
  </w:style>
  <w:style w:type="character" w:customStyle="1" w:styleId="60">
    <w:name w:val="כותרת 6 תו"/>
    <w:basedOn w:val="a0"/>
    <w:link w:val="6"/>
    <w:uiPriority w:val="9"/>
    <w:rsid w:val="0092533D"/>
    <w:rPr>
      <w:rFonts w:ascii="Times New Roman" w:eastAsia="Times New Roman" w:hAnsi="Times New Roman" w:cs="Times New Roman"/>
      <w:b/>
      <w:bCs/>
      <w:sz w:val="15"/>
      <w:szCs w:val="15"/>
    </w:rPr>
  </w:style>
  <w:style w:type="paragraph" w:styleId="a3">
    <w:name w:val="header"/>
    <w:basedOn w:val="a"/>
    <w:link w:val="a4"/>
    <w:uiPriority w:val="99"/>
    <w:semiHidden/>
    <w:unhideWhenUsed/>
    <w:rsid w:val="0092533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semiHidden/>
    <w:rsid w:val="0092533D"/>
    <w:rPr>
      <w:rFonts w:ascii="Times New Roman" w:eastAsia="Times New Roman" w:hAnsi="Times New Roman" w:cs="Times New Roman"/>
      <w:sz w:val="24"/>
      <w:szCs w:val="24"/>
    </w:rPr>
  </w:style>
  <w:style w:type="character" w:styleId="a5">
    <w:name w:val="page number"/>
    <w:basedOn w:val="a0"/>
    <w:uiPriority w:val="99"/>
    <w:semiHidden/>
    <w:unhideWhenUsed/>
    <w:rsid w:val="0092533D"/>
  </w:style>
  <w:style w:type="paragraph" w:styleId="a6">
    <w:name w:val="Body Text Indent"/>
    <w:basedOn w:val="a"/>
    <w:link w:val="a7"/>
    <w:uiPriority w:val="99"/>
    <w:semiHidden/>
    <w:unhideWhenUsed/>
    <w:rsid w:val="0092533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כניסה בגוף טקסט תו"/>
    <w:basedOn w:val="a0"/>
    <w:link w:val="a6"/>
    <w:uiPriority w:val="99"/>
    <w:semiHidden/>
    <w:rsid w:val="009253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51084">
      <w:bodyDiv w:val="1"/>
      <w:marLeft w:val="0"/>
      <w:marRight w:val="0"/>
      <w:marTop w:val="0"/>
      <w:marBottom w:val="0"/>
      <w:divBdr>
        <w:top w:val="none" w:sz="0" w:space="0" w:color="auto"/>
        <w:left w:val="none" w:sz="0" w:space="0" w:color="auto"/>
        <w:bottom w:val="none" w:sz="0" w:space="0" w:color="auto"/>
        <w:right w:val="none" w:sz="0" w:space="0" w:color="auto"/>
      </w:divBdr>
      <w:divsChild>
        <w:div w:id="1233389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3983</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Bruderman</dc:creator>
  <cp:keywords/>
  <dc:description/>
  <cp:lastModifiedBy>Nir Bruderman</cp:lastModifiedBy>
  <cp:revision>1</cp:revision>
  <dcterms:created xsi:type="dcterms:W3CDTF">2019-02-05T20:06:00Z</dcterms:created>
  <dcterms:modified xsi:type="dcterms:W3CDTF">2019-02-05T20:07:00Z</dcterms:modified>
</cp:coreProperties>
</file>