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1A86" w14:textId="43FE9006" w:rsidR="008A2771" w:rsidRDefault="00F370C8" w:rsidP="008A2771">
      <w:pPr>
        <w:pStyle w:val="a1"/>
        <w:spacing w:line="276" w:lineRule="auto"/>
        <w:ind w:right="-426"/>
        <w:jc w:val="left"/>
        <w:rPr>
          <w:rFonts w:ascii="FrankRuehl" w:hAnsi="FrankRuehl" w:cs="FrankRuehl"/>
          <w:b/>
          <w:bCs/>
          <w:sz w:val="36"/>
          <w:szCs w:val="36"/>
          <w:rtl/>
        </w:rPr>
      </w:pPr>
      <w:bookmarkStart w:id="0" w:name="_Hlk63669036"/>
      <w:r w:rsidRPr="00F370C8">
        <w:rPr>
          <w:rFonts w:ascii="FrankRuehl" w:hAnsi="FrankRuehl" w:cs="FrankRuehl"/>
          <w:color w:val="0070C0"/>
          <w:sz w:val="28"/>
          <w:szCs w:val="28"/>
          <w:rtl/>
        </w:rPr>
        <w:t xml:space="preserve">המאמר עתיד להתפרסם </w:t>
      </w:r>
      <w:r w:rsidRPr="00F370C8">
        <w:rPr>
          <w:rFonts w:ascii="FrankRuehl" w:hAnsi="FrankRuehl" w:cs="FrankRuehl" w:hint="cs"/>
          <w:color w:val="0070C0"/>
          <w:sz w:val="28"/>
          <w:szCs w:val="28"/>
          <w:rtl/>
        </w:rPr>
        <w:t>(</w:t>
      </w:r>
      <w:r w:rsidRPr="00F370C8">
        <w:rPr>
          <w:rFonts w:ascii="FrankRuehl" w:hAnsi="FrankRuehl" w:cs="FrankRuehl"/>
          <w:color w:val="0070C0"/>
          <w:sz w:val="28"/>
          <w:szCs w:val="28"/>
          <w:rtl/>
        </w:rPr>
        <w:t>בשינויים טכניים ולשוניים</w:t>
      </w:r>
      <w:r w:rsidRPr="00F370C8">
        <w:rPr>
          <w:rFonts w:ascii="FrankRuehl" w:hAnsi="FrankRuehl" w:cs="FrankRuehl" w:hint="cs"/>
          <w:color w:val="0070C0"/>
          <w:sz w:val="28"/>
          <w:szCs w:val="28"/>
          <w:rtl/>
        </w:rPr>
        <w:t xml:space="preserve"> אפשריים)</w:t>
      </w:r>
      <w:r w:rsidRPr="00F370C8">
        <w:rPr>
          <w:rFonts w:ascii="FrankRuehl" w:hAnsi="FrankRuehl" w:cs="FrankRuehl"/>
          <w:color w:val="0070C0"/>
          <w:sz w:val="28"/>
          <w:szCs w:val="28"/>
          <w:rtl/>
        </w:rPr>
        <w:t xml:space="preserve"> בגיליון ט"ז של </w:t>
      </w:r>
      <w:r w:rsidRPr="00DD3224">
        <w:rPr>
          <w:rFonts w:ascii="FrankRuehl" w:hAnsi="FrankRuehl" w:cs="FrankRuehl"/>
          <w:b/>
          <w:bCs/>
          <w:color w:val="0070C0"/>
          <w:sz w:val="28"/>
          <w:szCs w:val="28"/>
          <w:rtl/>
        </w:rPr>
        <w:t>כתב העת "חוקים"</w:t>
      </w:r>
      <w:r w:rsidRPr="00F370C8">
        <w:rPr>
          <w:rFonts w:ascii="FrankRuehl" w:hAnsi="FrankRuehl" w:cs="FrankRuehl"/>
          <w:color w:val="0070C0"/>
          <w:sz w:val="28"/>
          <w:szCs w:val="28"/>
          <w:rtl/>
        </w:rPr>
        <w:t>.</w:t>
      </w:r>
    </w:p>
    <w:p w14:paraId="054CDDF0" w14:textId="43FE9006" w:rsidR="00B45CB2" w:rsidRPr="001A0B66" w:rsidRDefault="00A45413" w:rsidP="00F307FB">
      <w:pPr>
        <w:pStyle w:val="a1"/>
        <w:spacing w:line="276" w:lineRule="auto"/>
        <w:jc w:val="center"/>
        <w:rPr>
          <w:rFonts w:ascii="FrankRuehl" w:hAnsi="FrankRuehl" w:cs="FrankRuehl"/>
          <w:b/>
          <w:bCs/>
          <w:sz w:val="36"/>
          <w:szCs w:val="36"/>
          <w:rtl/>
        </w:rPr>
      </w:pPr>
      <w:r w:rsidRPr="001A0B66">
        <w:rPr>
          <w:rFonts w:ascii="FrankRuehl" w:hAnsi="FrankRuehl" w:cs="FrankRuehl"/>
          <w:b/>
          <w:bCs/>
          <w:sz w:val="36"/>
          <w:szCs w:val="36"/>
          <w:rtl/>
        </w:rPr>
        <w:t>נטל כבד מנשוא:</w:t>
      </w:r>
      <w:r w:rsidR="00EC1147" w:rsidRPr="001A0B66">
        <w:rPr>
          <w:rFonts w:ascii="FrankRuehl" w:hAnsi="FrankRuehl" w:cs="FrankRuehl"/>
          <w:b/>
          <w:bCs/>
          <w:sz w:val="36"/>
          <w:szCs w:val="36"/>
          <w:rtl/>
        </w:rPr>
        <w:t xml:space="preserve"> </w:t>
      </w:r>
    </w:p>
    <w:p w14:paraId="70EAE520" w14:textId="77777777" w:rsidR="00A45413" w:rsidRDefault="00AB514A" w:rsidP="00F307FB">
      <w:pPr>
        <w:pStyle w:val="a1"/>
        <w:spacing w:line="276" w:lineRule="auto"/>
        <w:jc w:val="center"/>
        <w:rPr>
          <w:rFonts w:ascii="FrankRuehl" w:hAnsi="FrankRuehl" w:cs="FrankRuehl"/>
          <w:b/>
          <w:bCs/>
          <w:sz w:val="28"/>
          <w:szCs w:val="28"/>
          <w:rtl/>
        </w:rPr>
      </w:pPr>
      <w:r w:rsidRPr="001A0B66">
        <w:rPr>
          <w:rFonts w:ascii="FrankRuehl" w:hAnsi="FrankRuehl" w:cs="FrankRuehl"/>
          <w:b/>
          <w:bCs/>
          <w:sz w:val="36"/>
          <w:szCs w:val="36"/>
          <w:rtl/>
        </w:rPr>
        <w:t>מינוי</w:t>
      </w:r>
      <w:r w:rsidR="008450CD" w:rsidRPr="001A0B66">
        <w:rPr>
          <w:rFonts w:ascii="FrankRuehl" w:hAnsi="FrankRuehl" w:cs="FrankRuehl"/>
          <w:b/>
          <w:bCs/>
          <w:sz w:val="36"/>
          <w:szCs w:val="36"/>
          <w:rtl/>
        </w:rPr>
        <w:t xml:space="preserve"> </w:t>
      </w:r>
      <w:r w:rsidR="00A45413" w:rsidRPr="001A0B66">
        <w:rPr>
          <w:rFonts w:ascii="FrankRuehl" w:hAnsi="FrankRuehl" w:cs="FrankRuehl"/>
          <w:b/>
          <w:bCs/>
          <w:sz w:val="36"/>
          <w:szCs w:val="36"/>
          <w:rtl/>
        </w:rPr>
        <w:t>עורכי דין מיוחדים</w:t>
      </w:r>
      <w:r w:rsidR="00C65590" w:rsidRPr="001A0B66">
        <w:rPr>
          <w:rFonts w:ascii="FrankRuehl" w:hAnsi="FrankRuehl" w:cs="FrankRuehl"/>
          <w:b/>
          <w:bCs/>
          <w:sz w:val="36"/>
          <w:szCs w:val="36"/>
          <w:rtl/>
        </w:rPr>
        <w:t xml:space="preserve"> לשם התמודדות עם ראיות חסויות</w:t>
      </w:r>
    </w:p>
    <w:p w14:paraId="7E64EB84" w14:textId="77777777" w:rsidR="003E1189" w:rsidRDefault="003E1189" w:rsidP="00F307FB">
      <w:pPr>
        <w:pStyle w:val="a1"/>
        <w:spacing w:line="276" w:lineRule="auto"/>
        <w:jc w:val="center"/>
        <w:rPr>
          <w:rFonts w:ascii="FrankRuehl" w:hAnsi="FrankRuehl" w:cs="FrankRuehl"/>
          <w:b/>
          <w:bCs/>
          <w:sz w:val="28"/>
          <w:szCs w:val="28"/>
          <w:rtl/>
        </w:rPr>
      </w:pPr>
    </w:p>
    <w:p w14:paraId="00AC2091" w14:textId="77777777" w:rsidR="00E41FC4" w:rsidRDefault="00E41FC4" w:rsidP="00F307FB">
      <w:pPr>
        <w:pStyle w:val="a1"/>
        <w:spacing w:line="276" w:lineRule="auto"/>
        <w:jc w:val="center"/>
        <w:rPr>
          <w:rFonts w:ascii="FrankRuehl" w:hAnsi="FrankRuehl" w:cs="FrankRuehl"/>
          <w:b/>
          <w:bCs/>
          <w:sz w:val="28"/>
          <w:szCs w:val="28"/>
          <w:rtl/>
        </w:rPr>
      </w:pPr>
      <w:r w:rsidRPr="00734054">
        <w:rPr>
          <w:rFonts w:ascii="FrankRuehl" w:hAnsi="FrankRuehl" w:cs="FrankRuehl"/>
          <w:sz w:val="28"/>
          <w:szCs w:val="28"/>
          <w:rtl/>
        </w:rPr>
        <w:t xml:space="preserve">סמדר בן-נתן, אילן סבן, הדר </w:t>
      </w:r>
      <w:proofErr w:type="spellStart"/>
      <w:r w:rsidRPr="00734054">
        <w:rPr>
          <w:rFonts w:ascii="FrankRuehl" w:hAnsi="FrankRuehl" w:cs="FrankRuehl"/>
          <w:sz w:val="28"/>
          <w:szCs w:val="28"/>
          <w:rtl/>
        </w:rPr>
        <w:t>מדניק</w:t>
      </w:r>
      <w:proofErr w:type="spellEnd"/>
      <w:r w:rsidRPr="00734054">
        <w:rPr>
          <w:rFonts w:ascii="FrankRuehl" w:hAnsi="FrankRuehl" w:cs="FrankRuehl"/>
          <w:sz w:val="28"/>
          <w:szCs w:val="28"/>
          <w:rtl/>
        </w:rPr>
        <w:t>, קלה ספיר, תומר ברזני-</w:t>
      </w:r>
      <w:proofErr w:type="spellStart"/>
      <w:r w:rsidRPr="00734054">
        <w:rPr>
          <w:rFonts w:ascii="FrankRuehl" w:hAnsi="FrankRuehl" w:cs="FrankRuehl"/>
          <w:sz w:val="28"/>
          <w:szCs w:val="28"/>
          <w:rtl/>
        </w:rPr>
        <w:t>שייקביץ</w:t>
      </w:r>
      <w:proofErr w:type="spellEnd"/>
      <w:r w:rsidRPr="00734054">
        <w:rPr>
          <w:rFonts w:ascii="FrankRuehl" w:hAnsi="FrankRuehl" w:cs="FrankRuehl"/>
          <w:sz w:val="28"/>
          <w:szCs w:val="28"/>
          <w:rtl/>
        </w:rPr>
        <w:t>'</w:t>
      </w:r>
    </w:p>
    <w:bookmarkEnd w:id="0"/>
    <w:p w14:paraId="666A06A8" w14:textId="77777777" w:rsidR="003C0441" w:rsidRPr="001A0B66" w:rsidRDefault="00F24F9F" w:rsidP="00F307FB">
      <w:pPr>
        <w:pStyle w:val="a1"/>
        <w:spacing w:line="276" w:lineRule="auto"/>
        <w:jc w:val="center"/>
        <w:rPr>
          <w:rFonts w:ascii="FrankRuehl" w:hAnsi="FrankRuehl" w:cs="FrankRuehl"/>
          <w:sz w:val="28"/>
          <w:szCs w:val="28"/>
          <w:rtl/>
        </w:rPr>
      </w:pPr>
      <w:r>
        <w:rPr>
          <w:rFonts w:ascii="FrankRuehl" w:hAnsi="FrankRuehl" w:cs="FrankRuehl"/>
          <w:sz w:val="28"/>
          <w:szCs w:val="28"/>
          <w:rtl/>
        </w:rPr>
        <w:t>**</w:t>
      </w:r>
      <w:r w:rsidR="00AD4EE3" w:rsidRPr="001A0B66">
        <w:rPr>
          <w:rStyle w:val="FootnoteReference"/>
          <w:rFonts w:ascii="FrankRuehl" w:hAnsi="FrankRuehl" w:cs="FrankRuehl"/>
          <w:sz w:val="28"/>
          <w:szCs w:val="28"/>
          <w:rtl/>
        </w:rPr>
        <w:footnoteReference w:customMarkFollows="1" w:id="1"/>
        <w:t>*</w:t>
      </w:r>
    </w:p>
    <w:p w14:paraId="4A2422E4" w14:textId="77777777" w:rsidR="003312AF" w:rsidRPr="001A0B66" w:rsidRDefault="003312AF" w:rsidP="00F307FB">
      <w:pPr>
        <w:spacing w:before="240" w:after="240" w:line="276" w:lineRule="auto"/>
        <w:rPr>
          <w:rFonts w:ascii="FrankRuehl" w:hAnsi="FrankRuehl" w:cs="FrankRuehl"/>
          <w:b/>
          <w:bCs/>
          <w:sz w:val="28"/>
          <w:szCs w:val="28"/>
        </w:rPr>
      </w:pPr>
      <w:r w:rsidRPr="001A0B66">
        <w:rPr>
          <w:rFonts w:ascii="FrankRuehl" w:hAnsi="FrankRuehl" w:cs="FrankRuehl"/>
          <w:b/>
          <w:bCs/>
          <w:sz w:val="28"/>
          <w:szCs w:val="28"/>
          <w:rtl/>
        </w:rPr>
        <w:t>תוכן העניינים</w:t>
      </w:r>
    </w:p>
    <w:p w14:paraId="675B724C" w14:textId="77777777" w:rsidR="003D7064" w:rsidRPr="001A0B66" w:rsidRDefault="003D7064" w:rsidP="00F307FB">
      <w:pPr>
        <w:pStyle w:val="TOC1"/>
        <w:spacing w:line="276" w:lineRule="auto"/>
        <w:rPr>
          <w:rFonts w:ascii="FrankRuehl" w:hAnsi="FrankRuehl" w:cs="FrankRuehl"/>
          <w:bCs w:val="0"/>
          <w:noProof/>
          <w:sz w:val="28"/>
          <w:szCs w:val="28"/>
          <w:rtl/>
        </w:rPr>
      </w:pPr>
      <w:r w:rsidRPr="001A0B66">
        <w:rPr>
          <w:rFonts w:ascii="FrankRuehl" w:hAnsi="FrankRuehl" w:cs="FrankRuehl"/>
          <w:b/>
          <w:bCs w:val="0"/>
          <w:sz w:val="28"/>
          <w:szCs w:val="28"/>
          <w:rtl/>
        </w:rPr>
        <w:fldChar w:fldCharType="begin"/>
      </w:r>
      <w:r w:rsidRPr="001A0B66">
        <w:rPr>
          <w:rFonts w:ascii="FrankRuehl" w:hAnsi="FrankRuehl" w:cs="FrankRuehl"/>
          <w:b/>
          <w:bCs w:val="0"/>
          <w:sz w:val="28"/>
          <w:szCs w:val="28"/>
          <w:rtl/>
        </w:rPr>
        <w:instrText xml:space="preserve"> TOC \o "1-4" \h \z \u </w:instrText>
      </w:r>
      <w:r w:rsidRPr="001A0B66">
        <w:rPr>
          <w:rFonts w:ascii="FrankRuehl" w:hAnsi="FrankRuehl" w:cs="FrankRuehl"/>
          <w:b/>
          <w:bCs w:val="0"/>
          <w:sz w:val="28"/>
          <w:szCs w:val="28"/>
          <w:rtl/>
        </w:rPr>
        <w:fldChar w:fldCharType="separate"/>
      </w:r>
      <w:hyperlink w:anchor="_Toc53143371" w:history="1">
        <w:r w:rsidRPr="001A0B66">
          <w:rPr>
            <w:rStyle w:val="Hyperlink"/>
            <w:rFonts w:ascii="FrankRuehl" w:hAnsi="FrankRuehl" w:cs="FrankRuehl"/>
            <w:noProof/>
            <w:color w:val="auto"/>
            <w:sz w:val="28"/>
            <w:szCs w:val="28"/>
            <w:rtl/>
          </w:rPr>
          <w:t>1.</w:t>
        </w:r>
        <w:r w:rsidRPr="001A0B66">
          <w:rPr>
            <w:rFonts w:ascii="FrankRuehl" w:hAnsi="FrankRuehl" w:cs="FrankRuehl"/>
            <w:bCs w:val="0"/>
            <w:noProof/>
            <w:sz w:val="28"/>
            <w:szCs w:val="28"/>
            <w:rtl/>
          </w:rPr>
          <w:tab/>
        </w:r>
        <w:r w:rsidRPr="001A0B66">
          <w:rPr>
            <w:rStyle w:val="Hyperlink"/>
            <w:rFonts w:ascii="FrankRuehl" w:hAnsi="FrankRuehl" w:cs="FrankRuehl"/>
            <w:noProof/>
            <w:color w:val="auto"/>
            <w:sz w:val="28"/>
            <w:szCs w:val="28"/>
            <w:rtl/>
          </w:rPr>
          <w:t>מבוא – בעיית הראיות החסויות וההצעה להפעלת פרקליט מיוחד</w:t>
        </w:r>
        <w:r w:rsidRPr="001A0B66">
          <w:rPr>
            <w:rFonts w:ascii="FrankRuehl" w:hAnsi="FrankRuehl" w:cs="FrankRuehl"/>
            <w:noProof/>
            <w:webHidden/>
            <w:sz w:val="28"/>
            <w:szCs w:val="28"/>
            <w:rtl/>
          </w:rPr>
          <w:tab/>
        </w:r>
        <w:r w:rsidRPr="001A0B66">
          <w:rPr>
            <w:rFonts w:ascii="FrankRuehl" w:hAnsi="FrankRuehl" w:cs="FrankRuehl"/>
            <w:noProof/>
            <w:webHidden/>
            <w:sz w:val="28"/>
            <w:szCs w:val="28"/>
            <w:rtl/>
          </w:rPr>
          <w:fldChar w:fldCharType="begin"/>
        </w:r>
        <w:r w:rsidRPr="001A0B66">
          <w:rPr>
            <w:rFonts w:ascii="FrankRuehl" w:hAnsi="FrankRuehl" w:cs="FrankRuehl"/>
            <w:noProof/>
            <w:webHidden/>
            <w:sz w:val="28"/>
            <w:szCs w:val="28"/>
            <w:rtl/>
          </w:rPr>
          <w:instrText xml:space="preserve"> PAGEREF _Toc53143371 \h </w:instrText>
        </w:r>
        <w:r w:rsidRPr="001A0B66">
          <w:rPr>
            <w:rFonts w:ascii="FrankRuehl" w:hAnsi="FrankRuehl" w:cs="FrankRuehl"/>
            <w:noProof/>
            <w:webHidden/>
            <w:sz w:val="28"/>
            <w:szCs w:val="28"/>
            <w:rtl/>
          </w:rPr>
        </w:r>
        <w:r w:rsidRPr="001A0B66">
          <w:rPr>
            <w:rFonts w:ascii="FrankRuehl" w:hAnsi="FrankRuehl" w:cs="FrankRuehl"/>
            <w:noProof/>
            <w:webHidden/>
            <w:sz w:val="28"/>
            <w:szCs w:val="28"/>
            <w:rtl/>
          </w:rPr>
          <w:fldChar w:fldCharType="separate"/>
        </w:r>
        <w:r w:rsidRPr="001A0B66">
          <w:rPr>
            <w:rFonts w:ascii="FrankRuehl" w:hAnsi="FrankRuehl" w:cs="FrankRuehl"/>
            <w:noProof/>
            <w:webHidden/>
            <w:sz w:val="28"/>
            <w:szCs w:val="28"/>
            <w:rtl/>
          </w:rPr>
          <w:t>3</w:t>
        </w:r>
        <w:r w:rsidRPr="001A0B66">
          <w:rPr>
            <w:rFonts w:ascii="FrankRuehl" w:hAnsi="FrankRuehl" w:cs="FrankRuehl"/>
            <w:noProof/>
            <w:webHidden/>
            <w:sz w:val="28"/>
            <w:szCs w:val="28"/>
            <w:rtl/>
          </w:rPr>
          <w:fldChar w:fldCharType="end"/>
        </w:r>
      </w:hyperlink>
    </w:p>
    <w:p w14:paraId="3A3CB5E9" w14:textId="77777777" w:rsidR="003D7064" w:rsidRPr="001A0B66" w:rsidRDefault="00940CC7" w:rsidP="00F307FB">
      <w:pPr>
        <w:pStyle w:val="TOC1"/>
        <w:spacing w:line="276" w:lineRule="auto"/>
        <w:rPr>
          <w:rFonts w:ascii="FrankRuehl" w:hAnsi="FrankRuehl" w:cs="FrankRuehl"/>
          <w:bCs w:val="0"/>
          <w:noProof/>
          <w:sz w:val="28"/>
          <w:szCs w:val="28"/>
          <w:rtl/>
        </w:rPr>
      </w:pPr>
      <w:hyperlink w:anchor="_Toc53143372" w:history="1">
        <w:r w:rsidR="003D7064" w:rsidRPr="001A0B66">
          <w:rPr>
            <w:rStyle w:val="Hyperlink"/>
            <w:rFonts w:ascii="FrankRuehl" w:hAnsi="FrankRuehl" w:cs="FrankRuehl"/>
            <w:noProof/>
            <w:color w:val="auto"/>
            <w:sz w:val="28"/>
            <w:szCs w:val="28"/>
            <w:rtl/>
          </w:rPr>
          <w:t>2.</w:t>
        </w:r>
        <w:r w:rsidR="003D7064" w:rsidRPr="001A0B66">
          <w:rPr>
            <w:rFonts w:ascii="FrankRuehl" w:hAnsi="FrankRuehl" w:cs="FrankRuehl"/>
            <w:bCs w:val="0"/>
            <w:noProof/>
            <w:sz w:val="28"/>
            <w:szCs w:val="28"/>
            <w:rtl/>
          </w:rPr>
          <w:tab/>
        </w:r>
        <w:r w:rsidR="003D7064" w:rsidRPr="001A0B66">
          <w:rPr>
            <w:rStyle w:val="Hyperlink"/>
            <w:rFonts w:ascii="FrankRuehl" w:hAnsi="FrankRuehl" w:cs="FrankRuehl"/>
            <w:noProof/>
            <w:color w:val="auto"/>
            <w:sz w:val="28"/>
            <w:szCs w:val="28"/>
            <w:rtl/>
          </w:rPr>
          <w:t xml:space="preserve">בעיית הראיות החסויות – היבטים תאורטיים ומודלים להתמודדות מעשית </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_Toc53143372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5</w:t>
        </w:r>
        <w:r w:rsidR="003D7064" w:rsidRPr="001A0B66">
          <w:rPr>
            <w:rFonts w:ascii="FrankRuehl" w:hAnsi="FrankRuehl" w:cs="FrankRuehl"/>
            <w:noProof/>
            <w:webHidden/>
            <w:sz w:val="28"/>
            <w:szCs w:val="28"/>
            <w:rtl/>
          </w:rPr>
          <w:fldChar w:fldCharType="end"/>
        </w:r>
      </w:hyperlink>
    </w:p>
    <w:p w14:paraId="461B7F7D" w14:textId="77777777" w:rsidR="003D7064" w:rsidRPr="001A0B66" w:rsidRDefault="00940CC7" w:rsidP="00F307FB">
      <w:pPr>
        <w:pStyle w:val="TOC2"/>
        <w:tabs>
          <w:tab w:val="left" w:pos="1100"/>
          <w:tab w:val="right" w:leader="dot" w:pos="8296"/>
        </w:tabs>
        <w:spacing w:line="276" w:lineRule="auto"/>
        <w:rPr>
          <w:rFonts w:ascii="FrankRuehl" w:hAnsi="FrankRuehl" w:cs="FrankRuehl"/>
          <w:noProof/>
          <w:sz w:val="28"/>
          <w:szCs w:val="28"/>
          <w:rtl/>
        </w:rPr>
      </w:pPr>
      <w:hyperlink w:anchor="_Toc53143373" w:history="1">
        <w:r w:rsidR="003D7064" w:rsidRPr="001A0B66">
          <w:rPr>
            <w:rStyle w:val="Hyperlink"/>
            <w:rFonts w:ascii="FrankRuehl" w:hAnsi="FrankRuehl" w:cs="FrankRuehl"/>
            <w:noProof/>
            <w:color w:val="auto"/>
            <w:sz w:val="28"/>
            <w:szCs w:val="28"/>
            <w:rtl/>
          </w:rPr>
          <w:t>2.א</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היבטים תאורטיים</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_Toc53143373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5</w:t>
        </w:r>
        <w:r w:rsidR="003D7064" w:rsidRPr="001A0B66">
          <w:rPr>
            <w:rFonts w:ascii="FrankRuehl" w:hAnsi="FrankRuehl" w:cs="FrankRuehl"/>
            <w:noProof/>
            <w:webHidden/>
            <w:sz w:val="28"/>
            <w:szCs w:val="28"/>
            <w:rtl/>
          </w:rPr>
          <w:fldChar w:fldCharType="end"/>
        </w:r>
      </w:hyperlink>
    </w:p>
    <w:p w14:paraId="27F6C211" w14:textId="77777777" w:rsidR="003D7064" w:rsidRPr="001A0B66" w:rsidRDefault="00940CC7" w:rsidP="00F307FB">
      <w:pPr>
        <w:pStyle w:val="TOC2"/>
        <w:tabs>
          <w:tab w:val="left" w:pos="1100"/>
          <w:tab w:val="right" w:leader="dot" w:pos="8296"/>
        </w:tabs>
        <w:spacing w:line="276" w:lineRule="auto"/>
        <w:rPr>
          <w:rFonts w:ascii="FrankRuehl" w:hAnsi="FrankRuehl" w:cs="FrankRuehl"/>
          <w:noProof/>
          <w:sz w:val="28"/>
          <w:szCs w:val="28"/>
          <w:rtl/>
        </w:rPr>
      </w:pPr>
      <w:hyperlink w:anchor="_Toc53143374" w:history="1">
        <w:r w:rsidR="003D7064" w:rsidRPr="001A0B66">
          <w:rPr>
            <w:rStyle w:val="Hyperlink"/>
            <w:rFonts w:ascii="FrankRuehl" w:hAnsi="FrankRuehl" w:cs="FrankRuehl"/>
            <w:noProof/>
            <w:color w:val="auto"/>
            <w:sz w:val="28"/>
            <w:szCs w:val="28"/>
            <w:rtl/>
          </w:rPr>
          <w:t>2.ב</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מודלים להתמודדות עם בעיית הראיות החסויות</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_Toc53143374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7</w:t>
        </w:r>
        <w:r w:rsidR="003D7064" w:rsidRPr="001A0B66">
          <w:rPr>
            <w:rFonts w:ascii="FrankRuehl" w:hAnsi="FrankRuehl" w:cs="FrankRuehl"/>
            <w:noProof/>
            <w:webHidden/>
            <w:sz w:val="28"/>
            <w:szCs w:val="28"/>
            <w:rtl/>
          </w:rPr>
          <w:fldChar w:fldCharType="end"/>
        </w:r>
      </w:hyperlink>
    </w:p>
    <w:p w14:paraId="407FCFFB" w14:textId="77777777" w:rsidR="003D7064" w:rsidRPr="001A0B66" w:rsidRDefault="00940CC7" w:rsidP="00F307FB">
      <w:pPr>
        <w:pStyle w:val="TOC1"/>
        <w:spacing w:line="276" w:lineRule="auto"/>
        <w:rPr>
          <w:rFonts w:ascii="FrankRuehl" w:hAnsi="FrankRuehl" w:cs="FrankRuehl"/>
          <w:bCs w:val="0"/>
          <w:noProof/>
          <w:sz w:val="28"/>
          <w:szCs w:val="28"/>
          <w:rtl/>
        </w:rPr>
      </w:pPr>
      <w:hyperlink w:anchor="_Toc53143375" w:history="1">
        <w:r w:rsidR="003D7064" w:rsidRPr="001A0B66">
          <w:rPr>
            <w:rStyle w:val="Hyperlink"/>
            <w:rFonts w:ascii="FrankRuehl" w:hAnsi="FrankRuehl" w:cs="FrankRuehl"/>
            <w:noProof/>
            <w:color w:val="auto"/>
            <w:sz w:val="28"/>
            <w:szCs w:val="28"/>
            <w:rtl/>
          </w:rPr>
          <w:t>3.</w:t>
        </w:r>
        <w:r w:rsidR="003D7064" w:rsidRPr="001A0B66">
          <w:rPr>
            <w:rFonts w:ascii="FrankRuehl" w:hAnsi="FrankRuehl" w:cs="FrankRuehl"/>
            <w:bCs w:val="0"/>
            <w:noProof/>
            <w:sz w:val="28"/>
            <w:szCs w:val="28"/>
            <w:rtl/>
          </w:rPr>
          <w:tab/>
        </w:r>
        <w:r w:rsidR="003D7064" w:rsidRPr="001A0B66">
          <w:rPr>
            <w:rStyle w:val="Hyperlink"/>
            <w:rFonts w:ascii="FrankRuehl" w:hAnsi="FrankRuehl" w:cs="FrankRuehl"/>
            <w:noProof/>
            <w:color w:val="auto"/>
            <w:sz w:val="28"/>
            <w:szCs w:val="28"/>
            <w:rtl/>
          </w:rPr>
          <w:t>הצעת חוק עורכי דין מיוחדים, התשע"ז–2017</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_Toc53143375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11</w:t>
        </w:r>
        <w:r w:rsidR="003D7064" w:rsidRPr="001A0B66">
          <w:rPr>
            <w:rFonts w:ascii="FrankRuehl" w:hAnsi="FrankRuehl" w:cs="FrankRuehl"/>
            <w:noProof/>
            <w:webHidden/>
            <w:sz w:val="28"/>
            <w:szCs w:val="28"/>
            <w:rtl/>
          </w:rPr>
          <w:fldChar w:fldCharType="end"/>
        </w:r>
      </w:hyperlink>
    </w:p>
    <w:p w14:paraId="025AA6CE" w14:textId="77777777" w:rsidR="003D7064" w:rsidRPr="001A0B66" w:rsidRDefault="00940CC7" w:rsidP="00F307FB">
      <w:pPr>
        <w:pStyle w:val="TOC1"/>
        <w:spacing w:line="276" w:lineRule="auto"/>
        <w:rPr>
          <w:rFonts w:ascii="FrankRuehl" w:hAnsi="FrankRuehl" w:cs="FrankRuehl"/>
          <w:bCs w:val="0"/>
          <w:noProof/>
          <w:sz w:val="28"/>
          <w:szCs w:val="28"/>
          <w:rtl/>
        </w:rPr>
      </w:pPr>
      <w:hyperlink w:anchor="_Toc53143376" w:history="1">
        <w:r w:rsidR="003D7064" w:rsidRPr="001A0B66">
          <w:rPr>
            <w:rStyle w:val="Hyperlink"/>
            <w:rFonts w:ascii="FrankRuehl" w:hAnsi="FrankRuehl" w:cs="FrankRuehl"/>
            <w:noProof/>
            <w:color w:val="auto"/>
            <w:sz w:val="28"/>
            <w:szCs w:val="28"/>
            <w:rtl/>
          </w:rPr>
          <w:t>4.</w:t>
        </w:r>
        <w:r w:rsidR="003D7064" w:rsidRPr="001A0B66">
          <w:rPr>
            <w:rFonts w:ascii="FrankRuehl" w:hAnsi="FrankRuehl" w:cs="FrankRuehl"/>
            <w:bCs w:val="0"/>
            <w:noProof/>
            <w:sz w:val="28"/>
            <w:szCs w:val="28"/>
            <w:rtl/>
          </w:rPr>
          <w:tab/>
        </w:r>
        <w:r w:rsidR="003D7064" w:rsidRPr="001A0B66">
          <w:rPr>
            <w:rStyle w:val="Hyperlink"/>
            <w:rFonts w:ascii="FrankRuehl" w:hAnsi="FrankRuehl" w:cs="FrankRuehl"/>
            <w:noProof/>
            <w:color w:val="auto"/>
            <w:sz w:val="28"/>
            <w:szCs w:val="28"/>
            <w:rtl/>
          </w:rPr>
          <w:t>הצעתנו למודל הפרקליט המיוחד</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_Toc53143376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15</w:t>
        </w:r>
        <w:r w:rsidR="003D7064" w:rsidRPr="001A0B66">
          <w:rPr>
            <w:rFonts w:ascii="FrankRuehl" w:hAnsi="FrankRuehl" w:cs="FrankRuehl"/>
            <w:noProof/>
            <w:webHidden/>
            <w:sz w:val="28"/>
            <w:szCs w:val="28"/>
            <w:rtl/>
          </w:rPr>
          <w:fldChar w:fldCharType="end"/>
        </w:r>
      </w:hyperlink>
    </w:p>
    <w:p w14:paraId="6ABDDF69" w14:textId="77777777" w:rsidR="003D7064" w:rsidRPr="001A0B66" w:rsidRDefault="00940CC7" w:rsidP="00F307FB">
      <w:pPr>
        <w:pStyle w:val="TOC2"/>
        <w:tabs>
          <w:tab w:val="left" w:pos="1100"/>
          <w:tab w:val="right" w:leader="dot" w:pos="8296"/>
        </w:tabs>
        <w:spacing w:line="276" w:lineRule="auto"/>
        <w:rPr>
          <w:rFonts w:ascii="FrankRuehl" w:hAnsi="FrankRuehl" w:cs="FrankRuehl"/>
          <w:noProof/>
          <w:sz w:val="28"/>
          <w:szCs w:val="28"/>
          <w:rtl/>
        </w:rPr>
      </w:pPr>
      <w:hyperlink w:anchor="_Toc53143377" w:history="1">
        <w:r w:rsidR="003D7064" w:rsidRPr="001A0B66">
          <w:rPr>
            <w:rStyle w:val="Hyperlink"/>
            <w:rFonts w:ascii="FrankRuehl" w:hAnsi="FrankRuehl" w:cs="FrankRuehl"/>
            <w:noProof/>
            <w:color w:val="auto"/>
            <w:sz w:val="28"/>
            <w:szCs w:val="28"/>
            <w:rtl/>
          </w:rPr>
          <w:t>4.א</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איסור על עורך הדין המיוחד להיפגש עם האדם לאחר שנחשף לחומר החסוי, ואפשרות לקבל אישור מיוחד לכך מבית המשפט</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_Toc53143377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16</w:t>
        </w:r>
        <w:r w:rsidR="003D7064" w:rsidRPr="001A0B66">
          <w:rPr>
            <w:rFonts w:ascii="FrankRuehl" w:hAnsi="FrankRuehl" w:cs="FrankRuehl"/>
            <w:noProof/>
            <w:webHidden/>
            <w:sz w:val="28"/>
            <w:szCs w:val="28"/>
            <w:rtl/>
          </w:rPr>
          <w:fldChar w:fldCharType="end"/>
        </w:r>
      </w:hyperlink>
    </w:p>
    <w:p w14:paraId="1130B04B" w14:textId="77777777" w:rsidR="003D7064" w:rsidRPr="001A0B66" w:rsidRDefault="00940CC7" w:rsidP="00F307FB">
      <w:pPr>
        <w:pStyle w:val="TOC2"/>
        <w:tabs>
          <w:tab w:val="left" w:pos="1100"/>
          <w:tab w:val="right" w:leader="dot" w:pos="8296"/>
        </w:tabs>
        <w:spacing w:line="276" w:lineRule="auto"/>
        <w:rPr>
          <w:rFonts w:ascii="FrankRuehl" w:hAnsi="FrankRuehl" w:cs="FrankRuehl"/>
          <w:noProof/>
          <w:sz w:val="28"/>
          <w:szCs w:val="28"/>
          <w:rtl/>
        </w:rPr>
      </w:pPr>
      <w:hyperlink w:anchor="_Toc53143378" w:history="1">
        <w:r w:rsidR="003D7064" w:rsidRPr="001A0B66">
          <w:rPr>
            <w:rStyle w:val="Hyperlink"/>
            <w:rFonts w:ascii="FrankRuehl" w:hAnsi="FrankRuehl" w:cs="FrankRuehl"/>
            <w:noProof/>
            <w:color w:val="auto"/>
            <w:sz w:val="28"/>
            <w:szCs w:val="28"/>
            <w:rtl/>
          </w:rPr>
          <w:t>4.ב</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הצעותינו לשיפור ההסדר שבהצעת החוק</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_Toc53143378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18</w:t>
        </w:r>
        <w:r w:rsidR="003D7064" w:rsidRPr="001A0B66">
          <w:rPr>
            <w:rFonts w:ascii="FrankRuehl" w:hAnsi="FrankRuehl" w:cs="FrankRuehl"/>
            <w:noProof/>
            <w:webHidden/>
            <w:sz w:val="28"/>
            <w:szCs w:val="28"/>
            <w:rtl/>
          </w:rPr>
          <w:fldChar w:fldCharType="end"/>
        </w:r>
      </w:hyperlink>
    </w:p>
    <w:p w14:paraId="13E7DC01" w14:textId="77777777" w:rsidR="003D7064" w:rsidRPr="001A0B66" w:rsidRDefault="00940CC7" w:rsidP="00F307FB">
      <w:pPr>
        <w:pStyle w:val="TOC2"/>
        <w:tabs>
          <w:tab w:val="left" w:pos="1100"/>
          <w:tab w:val="right" w:leader="dot" w:pos="8296"/>
        </w:tabs>
        <w:spacing w:line="276" w:lineRule="auto"/>
        <w:rPr>
          <w:rFonts w:ascii="FrankRuehl" w:hAnsi="FrankRuehl" w:cs="FrankRuehl"/>
          <w:noProof/>
          <w:sz w:val="28"/>
          <w:szCs w:val="28"/>
          <w:rtl/>
        </w:rPr>
      </w:pPr>
      <w:hyperlink w:anchor="_Toc53143379" w:history="1">
        <w:r w:rsidR="003D7064" w:rsidRPr="001A0B66">
          <w:rPr>
            <w:rStyle w:val="Hyperlink"/>
            <w:rFonts w:ascii="FrankRuehl" w:hAnsi="FrankRuehl" w:cs="FrankRuehl"/>
            <w:noProof/>
            <w:color w:val="auto"/>
            <w:sz w:val="28"/>
            <w:szCs w:val="28"/>
            <w:rtl/>
          </w:rPr>
          <w:t>4.ב.1</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שכלול הכלים המסורים לעורכי הדין המיוחדים וסוגיות הנוגעות למינוים לתפקיד</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_Toc53143379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18</w:t>
        </w:r>
        <w:r w:rsidR="003D7064" w:rsidRPr="001A0B66">
          <w:rPr>
            <w:rFonts w:ascii="FrankRuehl" w:hAnsi="FrankRuehl" w:cs="FrankRuehl"/>
            <w:noProof/>
            <w:webHidden/>
            <w:sz w:val="28"/>
            <w:szCs w:val="28"/>
            <w:rtl/>
          </w:rPr>
          <w:fldChar w:fldCharType="end"/>
        </w:r>
      </w:hyperlink>
    </w:p>
    <w:p w14:paraId="40EFD307" w14:textId="77777777" w:rsidR="003D7064" w:rsidRPr="001A0B66" w:rsidRDefault="00940CC7" w:rsidP="00F307FB">
      <w:pPr>
        <w:pStyle w:val="TOC4"/>
        <w:tabs>
          <w:tab w:val="left" w:pos="2080"/>
          <w:tab w:val="right" w:leader="dot" w:pos="8296"/>
        </w:tabs>
        <w:spacing w:line="276" w:lineRule="auto"/>
        <w:rPr>
          <w:rFonts w:ascii="FrankRuehl" w:hAnsi="FrankRuehl" w:cs="FrankRuehl"/>
          <w:noProof/>
          <w:sz w:val="28"/>
          <w:szCs w:val="28"/>
          <w:rtl/>
        </w:rPr>
      </w:pPr>
      <w:hyperlink w:anchor="_Toc53143380" w:history="1">
        <w:r w:rsidR="003D7064" w:rsidRPr="001A0B66">
          <w:rPr>
            <w:rStyle w:val="Hyperlink"/>
            <w:rFonts w:ascii="FrankRuehl" w:hAnsi="FrankRuehl" w:cs="FrankRuehl"/>
            <w:noProof/>
            <w:color w:val="auto"/>
            <w:sz w:val="28"/>
            <w:szCs w:val="28"/>
            <w:rtl/>
          </w:rPr>
          <w:t>4.ב.1.א</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הפרפרזה ועקרון הגילוי המקסימלי</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_Toc53143380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18</w:t>
        </w:r>
        <w:r w:rsidR="003D7064" w:rsidRPr="001A0B66">
          <w:rPr>
            <w:rFonts w:ascii="FrankRuehl" w:hAnsi="FrankRuehl" w:cs="FrankRuehl"/>
            <w:noProof/>
            <w:webHidden/>
            <w:sz w:val="28"/>
            <w:szCs w:val="28"/>
            <w:rtl/>
          </w:rPr>
          <w:fldChar w:fldCharType="end"/>
        </w:r>
      </w:hyperlink>
    </w:p>
    <w:p w14:paraId="4B7F8404" w14:textId="77777777" w:rsidR="003D7064" w:rsidRPr="001A0B66" w:rsidRDefault="00940CC7" w:rsidP="00F307FB">
      <w:pPr>
        <w:pStyle w:val="TOC4"/>
        <w:tabs>
          <w:tab w:val="left" w:pos="2080"/>
          <w:tab w:val="right" w:leader="dot" w:pos="8296"/>
        </w:tabs>
        <w:spacing w:line="276" w:lineRule="auto"/>
        <w:rPr>
          <w:rFonts w:ascii="FrankRuehl" w:hAnsi="FrankRuehl" w:cs="FrankRuehl"/>
          <w:noProof/>
          <w:sz w:val="28"/>
          <w:szCs w:val="28"/>
          <w:rtl/>
        </w:rPr>
      </w:pPr>
      <w:hyperlink w:anchor="_Toc53143381" w:history="1">
        <w:r w:rsidR="003D7064" w:rsidRPr="001A0B66">
          <w:rPr>
            <w:rStyle w:val="Hyperlink"/>
            <w:rFonts w:ascii="FrankRuehl" w:hAnsi="FrankRuehl" w:cs="FrankRuehl"/>
            <w:noProof/>
            <w:color w:val="auto"/>
            <w:sz w:val="28"/>
            <w:szCs w:val="28"/>
            <w:rtl/>
          </w:rPr>
          <w:t>4.ב.1.ב</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חומרי הגלם המודיעיניים, נוכחות חוקרי השב"כ, חקירתם והאפשרות להביא עדים ולהסתייע במתורגמנים</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_Toc53143381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20</w:t>
        </w:r>
        <w:r w:rsidR="003D7064" w:rsidRPr="001A0B66">
          <w:rPr>
            <w:rFonts w:ascii="FrankRuehl" w:hAnsi="FrankRuehl" w:cs="FrankRuehl"/>
            <w:noProof/>
            <w:webHidden/>
            <w:sz w:val="28"/>
            <w:szCs w:val="28"/>
            <w:rtl/>
          </w:rPr>
          <w:fldChar w:fldCharType="end"/>
        </w:r>
      </w:hyperlink>
    </w:p>
    <w:p w14:paraId="75F86A70" w14:textId="77777777" w:rsidR="003D7064" w:rsidRPr="001A0B66" w:rsidRDefault="00940CC7" w:rsidP="00F307FB">
      <w:pPr>
        <w:pStyle w:val="TOC4"/>
        <w:tabs>
          <w:tab w:val="left" w:pos="2080"/>
          <w:tab w:val="right" w:leader="dot" w:pos="8296"/>
        </w:tabs>
        <w:spacing w:line="276" w:lineRule="auto"/>
        <w:rPr>
          <w:rFonts w:ascii="FrankRuehl" w:hAnsi="FrankRuehl" w:cs="FrankRuehl"/>
          <w:noProof/>
          <w:sz w:val="28"/>
          <w:szCs w:val="28"/>
          <w:rtl/>
        </w:rPr>
      </w:pPr>
      <w:hyperlink w:anchor="_Toc53143382" w:history="1">
        <w:r w:rsidR="003D7064" w:rsidRPr="001A0B66">
          <w:rPr>
            <w:rStyle w:val="Hyperlink"/>
            <w:rFonts w:ascii="FrankRuehl" w:hAnsi="FrankRuehl" w:cs="FrankRuehl"/>
            <w:noProof/>
            <w:color w:val="auto"/>
            <w:sz w:val="28"/>
            <w:szCs w:val="28"/>
            <w:rtl/>
          </w:rPr>
          <w:t>4.ב.1.ג</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המנגנון למינוי עורכי הדין המיוחדים: תפקיד הסנגוריה הציבורית</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_Toc53143382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22</w:t>
        </w:r>
        <w:r w:rsidR="003D7064" w:rsidRPr="001A0B66">
          <w:rPr>
            <w:rFonts w:ascii="FrankRuehl" w:hAnsi="FrankRuehl" w:cs="FrankRuehl"/>
            <w:noProof/>
            <w:webHidden/>
            <w:sz w:val="28"/>
            <w:szCs w:val="28"/>
            <w:rtl/>
          </w:rPr>
          <w:fldChar w:fldCharType="end"/>
        </w:r>
      </w:hyperlink>
    </w:p>
    <w:p w14:paraId="5618347C" w14:textId="77777777" w:rsidR="003D7064" w:rsidRPr="001A0B66" w:rsidRDefault="00940CC7" w:rsidP="00F307FB">
      <w:pPr>
        <w:pStyle w:val="TOC2"/>
        <w:tabs>
          <w:tab w:val="left" w:pos="1100"/>
          <w:tab w:val="right" w:leader="dot" w:pos="8296"/>
        </w:tabs>
        <w:spacing w:line="276" w:lineRule="auto"/>
        <w:rPr>
          <w:rFonts w:ascii="FrankRuehl" w:hAnsi="FrankRuehl" w:cs="FrankRuehl"/>
          <w:noProof/>
          <w:sz w:val="28"/>
          <w:szCs w:val="28"/>
          <w:rtl/>
        </w:rPr>
      </w:pPr>
      <w:hyperlink w:anchor="_Toc53143383" w:history="1">
        <w:r w:rsidR="003D7064" w:rsidRPr="001A0B66">
          <w:rPr>
            <w:rStyle w:val="Hyperlink"/>
            <w:rFonts w:ascii="FrankRuehl" w:hAnsi="FrankRuehl" w:cs="FrankRuehl"/>
            <w:noProof/>
            <w:color w:val="auto"/>
            <w:sz w:val="28"/>
            <w:szCs w:val="28"/>
            <w:rtl/>
          </w:rPr>
          <w:t>4.ב.2</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הרחבת תחולת הסדר עורכי הדין המיוחדים</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_Toc53143383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25</w:t>
        </w:r>
        <w:r w:rsidR="003D7064" w:rsidRPr="001A0B66">
          <w:rPr>
            <w:rFonts w:ascii="FrankRuehl" w:hAnsi="FrankRuehl" w:cs="FrankRuehl"/>
            <w:noProof/>
            <w:webHidden/>
            <w:sz w:val="28"/>
            <w:szCs w:val="28"/>
            <w:rtl/>
          </w:rPr>
          <w:fldChar w:fldCharType="end"/>
        </w:r>
      </w:hyperlink>
    </w:p>
    <w:p w14:paraId="79A2652A" w14:textId="77777777" w:rsidR="003D7064" w:rsidRPr="001A0B66" w:rsidRDefault="00940CC7" w:rsidP="00F307FB">
      <w:pPr>
        <w:pStyle w:val="TOC4"/>
        <w:tabs>
          <w:tab w:val="left" w:pos="2080"/>
          <w:tab w:val="right" w:leader="dot" w:pos="8296"/>
        </w:tabs>
        <w:spacing w:line="276" w:lineRule="auto"/>
        <w:rPr>
          <w:rFonts w:ascii="FrankRuehl" w:hAnsi="FrankRuehl" w:cs="FrankRuehl"/>
          <w:noProof/>
          <w:sz w:val="28"/>
          <w:szCs w:val="28"/>
          <w:rtl/>
        </w:rPr>
      </w:pPr>
      <w:hyperlink w:anchor="_Toc53143384" w:history="1">
        <w:r w:rsidR="003D7064" w:rsidRPr="001A0B66">
          <w:rPr>
            <w:rStyle w:val="Hyperlink"/>
            <w:rFonts w:ascii="FrankRuehl" w:hAnsi="FrankRuehl" w:cs="FrankRuehl"/>
            <w:noProof/>
            <w:color w:val="auto"/>
            <w:sz w:val="28"/>
            <w:szCs w:val="28"/>
            <w:rtl/>
          </w:rPr>
          <w:t>4.ב.2.א</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החלת ההסדר על פלסטינים בשטחים</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_Toc53143384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25</w:t>
        </w:r>
        <w:r w:rsidR="003D7064" w:rsidRPr="001A0B66">
          <w:rPr>
            <w:rFonts w:ascii="FrankRuehl" w:hAnsi="FrankRuehl" w:cs="FrankRuehl"/>
            <w:noProof/>
            <w:webHidden/>
            <w:sz w:val="28"/>
            <w:szCs w:val="28"/>
            <w:rtl/>
          </w:rPr>
          <w:fldChar w:fldCharType="end"/>
        </w:r>
      </w:hyperlink>
    </w:p>
    <w:p w14:paraId="66100094" w14:textId="77777777" w:rsidR="003D7064" w:rsidRPr="001A0B66" w:rsidRDefault="00940CC7" w:rsidP="00F307FB">
      <w:pPr>
        <w:pStyle w:val="TOC4"/>
        <w:tabs>
          <w:tab w:val="left" w:pos="2080"/>
          <w:tab w:val="right" w:leader="dot" w:pos="8296"/>
        </w:tabs>
        <w:spacing w:line="276" w:lineRule="auto"/>
        <w:rPr>
          <w:rFonts w:ascii="FrankRuehl" w:hAnsi="FrankRuehl" w:cs="FrankRuehl"/>
          <w:noProof/>
          <w:sz w:val="28"/>
          <w:szCs w:val="28"/>
          <w:rtl/>
        </w:rPr>
      </w:pPr>
      <w:hyperlink w:anchor="_Toc53143385" w:history="1">
        <w:r w:rsidR="003D7064" w:rsidRPr="001A0B66">
          <w:rPr>
            <w:rStyle w:val="Hyperlink"/>
            <w:rFonts w:ascii="FrankRuehl" w:hAnsi="FrankRuehl" w:cs="FrankRuehl"/>
            <w:noProof/>
            <w:color w:val="auto"/>
            <w:sz w:val="28"/>
            <w:szCs w:val="28"/>
            <w:rtl/>
          </w:rPr>
          <w:t>4.ב.2.ב</w:t>
        </w:r>
        <w:r w:rsidR="003D7064" w:rsidRPr="001A0B66">
          <w:rPr>
            <w:rFonts w:ascii="FrankRuehl" w:hAnsi="FrankRuehl" w:cs="FrankRuehl"/>
            <w:noProof/>
            <w:sz w:val="28"/>
            <w:szCs w:val="28"/>
            <w:rtl/>
          </w:rPr>
          <w:tab/>
        </w:r>
        <w:r w:rsidR="003D7064" w:rsidRPr="001A0B66">
          <w:rPr>
            <w:rStyle w:val="Hyperlink"/>
            <w:rFonts w:ascii="FrankRuehl" w:hAnsi="FrankRuehl" w:cs="FrankRuehl"/>
            <w:noProof/>
            <w:color w:val="auto"/>
            <w:sz w:val="28"/>
            <w:szCs w:val="28"/>
            <w:rtl/>
          </w:rPr>
          <w:t>הרחבת תחולת ההסדר להליכים נוספים המערבים ראיות חסויות – תחילתו של דיון</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_Toc53143385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32</w:t>
        </w:r>
        <w:r w:rsidR="003D7064" w:rsidRPr="001A0B66">
          <w:rPr>
            <w:rFonts w:ascii="FrankRuehl" w:hAnsi="FrankRuehl" w:cs="FrankRuehl"/>
            <w:noProof/>
            <w:webHidden/>
            <w:sz w:val="28"/>
            <w:szCs w:val="28"/>
            <w:rtl/>
          </w:rPr>
          <w:fldChar w:fldCharType="end"/>
        </w:r>
      </w:hyperlink>
    </w:p>
    <w:p w14:paraId="0EF32594" w14:textId="77777777" w:rsidR="003D7064" w:rsidRPr="001A0B66" w:rsidRDefault="00940CC7" w:rsidP="00F307FB">
      <w:pPr>
        <w:pStyle w:val="TOC1"/>
        <w:spacing w:line="276" w:lineRule="auto"/>
        <w:rPr>
          <w:rFonts w:ascii="FrankRuehl" w:hAnsi="FrankRuehl" w:cs="FrankRuehl"/>
          <w:bCs w:val="0"/>
          <w:noProof/>
          <w:sz w:val="28"/>
          <w:szCs w:val="28"/>
          <w:rtl/>
        </w:rPr>
      </w:pPr>
      <w:hyperlink w:anchor="_Toc53143386" w:history="1">
        <w:r w:rsidR="003D7064" w:rsidRPr="001A0B66">
          <w:rPr>
            <w:rStyle w:val="Hyperlink"/>
            <w:rFonts w:ascii="FrankRuehl" w:hAnsi="FrankRuehl" w:cs="FrankRuehl"/>
            <w:noProof/>
            <w:color w:val="auto"/>
            <w:sz w:val="28"/>
            <w:szCs w:val="28"/>
            <w:rtl/>
          </w:rPr>
          <w:t>5.</w:t>
        </w:r>
        <w:r w:rsidR="003D7064" w:rsidRPr="001A0B66">
          <w:rPr>
            <w:rFonts w:ascii="FrankRuehl" w:hAnsi="FrankRuehl" w:cs="FrankRuehl"/>
            <w:bCs w:val="0"/>
            <w:noProof/>
            <w:sz w:val="28"/>
            <w:szCs w:val="28"/>
            <w:rtl/>
          </w:rPr>
          <w:tab/>
        </w:r>
        <w:r w:rsidR="003D7064" w:rsidRPr="001A0B66">
          <w:rPr>
            <w:rStyle w:val="Hyperlink"/>
            <w:rFonts w:ascii="FrankRuehl" w:hAnsi="FrankRuehl" w:cs="FrankRuehl"/>
            <w:noProof/>
            <w:color w:val="auto"/>
            <w:sz w:val="28"/>
            <w:szCs w:val="28"/>
            <w:rtl/>
          </w:rPr>
          <w:t>סיכום</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_Toc53143386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35</w:t>
        </w:r>
        <w:r w:rsidR="003D7064" w:rsidRPr="001A0B66">
          <w:rPr>
            <w:rFonts w:ascii="FrankRuehl" w:hAnsi="FrankRuehl" w:cs="FrankRuehl"/>
            <w:noProof/>
            <w:webHidden/>
            <w:sz w:val="28"/>
            <w:szCs w:val="28"/>
            <w:rtl/>
          </w:rPr>
          <w:fldChar w:fldCharType="end"/>
        </w:r>
      </w:hyperlink>
    </w:p>
    <w:p w14:paraId="20F56341" w14:textId="77777777" w:rsidR="003D7064" w:rsidRPr="001A0B66" w:rsidRDefault="00940CC7" w:rsidP="00F307FB">
      <w:pPr>
        <w:pStyle w:val="TOC1"/>
        <w:spacing w:line="276" w:lineRule="auto"/>
        <w:rPr>
          <w:rFonts w:ascii="FrankRuehl" w:hAnsi="FrankRuehl" w:cs="FrankRuehl"/>
          <w:bCs w:val="0"/>
          <w:noProof/>
          <w:sz w:val="28"/>
          <w:szCs w:val="28"/>
          <w:rtl/>
        </w:rPr>
      </w:pPr>
      <w:hyperlink w:anchor="_Toc53143387" w:history="1">
        <w:r w:rsidR="003D7064" w:rsidRPr="001A0B66">
          <w:rPr>
            <w:rStyle w:val="Hyperlink"/>
            <w:rFonts w:ascii="FrankRuehl" w:hAnsi="FrankRuehl" w:cs="FrankRuehl"/>
            <w:noProof/>
            <w:color w:val="auto"/>
            <w:sz w:val="28"/>
            <w:szCs w:val="28"/>
            <w:rtl/>
          </w:rPr>
          <w:t>נספח – הצעת נוסח מתוקן להצעת החוק</w:t>
        </w:r>
        <w:r w:rsidR="003D7064" w:rsidRPr="001A0B66">
          <w:rPr>
            <w:rFonts w:ascii="FrankRuehl" w:hAnsi="FrankRuehl" w:cs="FrankRuehl"/>
            <w:noProof/>
            <w:webHidden/>
            <w:sz w:val="28"/>
            <w:szCs w:val="28"/>
            <w:rtl/>
          </w:rPr>
          <w:tab/>
        </w:r>
        <w:r w:rsidR="003D7064" w:rsidRPr="001A0B66">
          <w:rPr>
            <w:rFonts w:ascii="FrankRuehl" w:hAnsi="FrankRuehl" w:cs="FrankRuehl"/>
            <w:noProof/>
            <w:webHidden/>
            <w:sz w:val="28"/>
            <w:szCs w:val="28"/>
            <w:rtl/>
          </w:rPr>
          <w:fldChar w:fldCharType="begin"/>
        </w:r>
        <w:r w:rsidR="003D7064" w:rsidRPr="001A0B66">
          <w:rPr>
            <w:rFonts w:ascii="FrankRuehl" w:hAnsi="FrankRuehl" w:cs="FrankRuehl"/>
            <w:noProof/>
            <w:webHidden/>
            <w:sz w:val="28"/>
            <w:szCs w:val="28"/>
            <w:rtl/>
          </w:rPr>
          <w:instrText xml:space="preserve"> PAGEREF _Toc53143387 \h </w:instrText>
        </w:r>
        <w:r w:rsidR="003D7064" w:rsidRPr="001A0B66">
          <w:rPr>
            <w:rFonts w:ascii="FrankRuehl" w:hAnsi="FrankRuehl" w:cs="FrankRuehl"/>
            <w:noProof/>
            <w:webHidden/>
            <w:sz w:val="28"/>
            <w:szCs w:val="28"/>
            <w:rtl/>
          </w:rPr>
        </w:r>
        <w:r w:rsidR="003D7064" w:rsidRPr="001A0B66">
          <w:rPr>
            <w:rFonts w:ascii="FrankRuehl" w:hAnsi="FrankRuehl" w:cs="FrankRuehl"/>
            <w:noProof/>
            <w:webHidden/>
            <w:sz w:val="28"/>
            <w:szCs w:val="28"/>
            <w:rtl/>
          </w:rPr>
          <w:fldChar w:fldCharType="separate"/>
        </w:r>
        <w:r w:rsidR="003D7064" w:rsidRPr="001A0B66">
          <w:rPr>
            <w:rFonts w:ascii="FrankRuehl" w:hAnsi="FrankRuehl" w:cs="FrankRuehl"/>
            <w:noProof/>
            <w:webHidden/>
            <w:sz w:val="28"/>
            <w:szCs w:val="28"/>
            <w:rtl/>
          </w:rPr>
          <w:t>37</w:t>
        </w:r>
        <w:r w:rsidR="003D7064" w:rsidRPr="001A0B66">
          <w:rPr>
            <w:rFonts w:ascii="FrankRuehl" w:hAnsi="FrankRuehl" w:cs="FrankRuehl"/>
            <w:noProof/>
            <w:webHidden/>
            <w:sz w:val="28"/>
            <w:szCs w:val="28"/>
            <w:rtl/>
          </w:rPr>
          <w:fldChar w:fldCharType="end"/>
        </w:r>
      </w:hyperlink>
    </w:p>
    <w:p w14:paraId="2A10FA18" w14:textId="17E80E13" w:rsidR="00F219FC" w:rsidRDefault="003D7064" w:rsidP="008A2771">
      <w:pPr>
        <w:spacing w:line="276" w:lineRule="auto"/>
        <w:ind w:left="2835"/>
        <w:rPr>
          <w:rFonts w:ascii="FrankRuehl" w:hAnsi="FrankRuehl" w:cs="FrankRuehl"/>
          <w:sz w:val="28"/>
          <w:szCs w:val="28"/>
        </w:rPr>
      </w:pPr>
      <w:r w:rsidRPr="001A0B66">
        <w:rPr>
          <w:rFonts w:ascii="FrankRuehl" w:hAnsi="FrankRuehl" w:cs="FrankRuehl"/>
          <w:b/>
          <w:bCs/>
          <w:sz w:val="28"/>
          <w:szCs w:val="28"/>
          <w:rtl/>
        </w:rPr>
        <w:fldChar w:fldCharType="end"/>
      </w:r>
      <w:r w:rsidR="00F219FC">
        <w:rPr>
          <w:rFonts w:ascii="FrankRuehl" w:hAnsi="FrankRuehl" w:cs="FrankRuehl"/>
          <w:sz w:val="28"/>
          <w:szCs w:val="28"/>
          <w:rtl/>
        </w:rPr>
        <w:br w:type="page"/>
      </w:r>
    </w:p>
    <w:p w14:paraId="2EDBCABC" w14:textId="1A1B72D4" w:rsidR="006E1D17" w:rsidRPr="001A0B66" w:rsidRDefault="00EA4BED" w:rsidP="00F307FB">
      <w:pPr>
        <w:spacing w:line="276" w:lineRule="auto"/>
        <w:ind w:left="2835"/>
        <w:rPr>
          <w:rFonts w:ascii="FrankRuehl" w:hAnsi="FrankRuehl" w:cs="FrankRuehl"/>
          <w:sz w:val="28"/>
          <w:szCs w:val="28"/>
          <w:rtl/>
        </w:rPr>
      </w:pPr>
      <w:r w:rsidRPr="001A0B66">
        <w:rPr>
          <w:rFonts w:ascii="FrankRuehl" w:hAnsi="FrankRuehl" w:cs="FrankRuehl"/>
          <w:sz w:val="28"/>
          <w:szCs w:val="28"/>
          <w:rtl/>
        </w:rPr>
        <w:lastRenderedPageBreak/>
        <w:t>"</w:t>
      </w:r>
      <w:r w:rsidR="006E1D17" w:rsidRPr="001A0B66">
        <w:rPr>
          <w:rFonts w:ascii="FrankRuehl" w:hAnsi="FrankRuehl" w:cs="FrankRuehl"/>
          <w:sz w:val="28"/>
          <w:szCs w:val="28"/>
          <w:rtl/>
        </w:rPr>
        <w:t>עד כה לא אומץ בשיטת המשפט הישראלית הסדר דומה</w:t>
      </w:r>
      <w:r w:rsidR="007107C0" w:rsidRPr="001A0B66">
        <w:rPr>
          <w:rFonts w:ascii="FrankRuehl" w:hAnsi="FrankRuehl" w:cs="FrankRuehl"/>
          <w:sz w:val="28"/>
          <w:szCs w:val="28"/>
          <w:rtl/>
        </w:rPr>
        <w:t xml:space="preserve"> [</w:t>
      </w:r>
      <w:r w:rsidR="00E0027F" w:rsidRPr="001A0B66">
        <w:rPr>
          <w:rFonts w:ascii="FrankRuehl" w:hAnsi="FrankRuehl" w:cs="FrankRuehl"/>
          <w:sz w:val="28"/>
          <w:szCs w:val="28"/>
          <w:rtl/>
        </w:rPr>
        <w:t xml:space="preserve">בדבר </w:t>
      </w:r>
      <w:r w:rsidR="007107C0" w:rsidRPr="001A0B66">
        <w:rPr>
          <w:rFonts w:ascii="FrankRuehl" w:hAnsi="FrankRuehl" w:cs="FrankRuehl"/>
          <w:sz w:val="28"/>
          <w:szCs w:val="28"/>
          <w:rtl/>
        </w:rPr>
        <w:t>"עורכי דין מיוחדים"]</w:t>
      </w:r>
      <w:r w:rsidR="006E1D17" w:rsidRPr="001A0B66">
        <w:rPr>
          <w:rFonts w:ascii="FrankRuehl" w:hAnsi="FrankRuehl" w:cs="FrankRuehl"/>
          <w:sz w:val="28"/>
          <w:szCs w:val="28"/>
          <w:rtl/>
        </w:rPr>
        <w:t xml:space="preserve">, חרף הקשיים הרבים שמעורר מצב הדברים הקיים היום </w:t>
      </w:r>
      <w:r w:rsidR="00350126" w:rsidRPr="001A0B66">
        <w:rPr>
          <w:rFonts w:ascii="FrankRuehl" w:hAnsi="FrankRuehl" w:cs="FrankRuehl"/>
          <w:sz w:val="28"/>
          <w:szCs w:val="28"/>
          <w:rtl/>
        </w:rPr>
        <w:t>[</w:t>
      </w:r>
      <w:r w:rsidR="00CE5667" w:rsidRPr="001A0B66">
        <w:rPr>
          <w:rFonts w:ascii="FrankRuehl" w:hAnsi="FrankRuehl" w:cs="FrankRuehl"/>
          <w:sz w:val="28"/>
          <w:szCs w:val="28"/>
          <w:rtl/>
        </w:rPr>
        <w:t>..</w:t>
      </w:r>
      <w:r w:rsidR="006E1D17" w:rsidRPr="001A0B66">
        <w:rPr>
          <w:rFonts w:ascii="FrankRuehl" w:hAnsi="FrankRuehl" w:cs="FrankRuehl"/>
          <w:sz w:val="28"/>
          <w:szCs w:val="28"/>
          <w:rtl/>
        </w:rPr>
        <w:t>.</w:t>
      </w:r>
      <w:r w:rsidR="00350126" w:rsidRPr="001A0B66">
        <w:rPr>
          <w:rFonts w:ascii="FrankRuehl" w:hAnsi="FrankRuehl" w:cs="FrankRuehl"/>
          <w:sz w:val="28"/>
          <w:szCs w:val="28"/>
          <w:rtl/>
        </w:rPr>
        <w:t>]</w:t>
      </w:r>
      <w:r w:rsidR="006E1D17" w:rsidRPr="001A0B66">
        <w:rPr>
          <w:rFonts w:ascii="FrankRuehl" w:hAnsi="FrankRuehl" w:cs="FrankRuehl"/>
          <w:sz w:val="28"/>
          <w:szCs w:val="28"/>
          <w:rtl/>
        </w:rPr>
        <w:t xml:space="preserve"> נראה כי בשלה העת לבחון אימוצו של פתרון מעין זה אף בשיטתנו שלנו, שכן יכול ויהיה בו משום מענה – ולו חלקי – לקושי האינהרנטי שבין הצורך בשמירה על בטחון המדינה תוך הגנה על חסיון המידע לבין זכותו של הפרט להתמודד עם המידע המיוחס לו, המתעורר אצלנו באופן תדיר ובמסגרות שונות</w:t>
      </w:r>
      <w:r w:rsidRPr="001A0B66">
        <w:rPr>
          <w:rFonts w:ascii="FrankRuehl" w:hAnsi="FrankRuehl" w:cs="FrankRuehl"/>
          <w:sz w:val="28"/>
          <w:szCs w:val="28"/>
          <w:rtl/>
        </w:rPr>
        <w:t>"</w:t>
      </w:r>
      <w:r w:rsidR="006E1D17" w:rsidRPr="001A0B66">
        <w:rPr>
          <w:rFonts w:ascii="FrankRuehl" w:hAnsi="FrankRuehl" w:cs="FrankRuehl"/>
          <w:sz w:val="28"/>
          <w:szCs w:val="28"/>
          <w:rtl/>
        </w:rPr>
        <w:t>.</w:t>
      </w:r>
      <w:bookmarkStart w:id="2" w:name="_Ref53049361"/>
      <w:r w:rsidR="00CE5667" w:rsidRPr="001A0B66">
        <w:rPr>
          <w:rStyle w:val="FootnoteReference"/>
          <w:rFonts w:ascii="FrankRuehl" w:hAnsi="FrankRuehl" w:cs="FrankRuehl"/>
          <w:sz w:val="28"/>
          <w:szCs w:val="28"/>
          <w:rtl/>
        </w:rPr>
        <w:footnoteReference w:id="2"/>
      </w:r>
      <w:bookmarkEnd w:id="2"/>
    </w:p>
    <w:p w14:paraId="40FD64D7" w14:textId="77777777" w:rsidR="00A27426" w:rsidRPr="001A0B66" w:rsidRDefault="0035052E" w:rsidP="00F307FB">
      <w:pPr>
        <w:pStyle w:val="Heading1"/>
        <w:spacing w:line="276" w:lineRule="auto"/>
        <w:rPr>
          <w:rFonts w:ascii="FrankRuehl" w:hAnsi="FrankRuehl" w:cs="FrankRuehl"/>
        </w:rPr>
      </w:pPr>
      <w:bookmarkStart w:id="4" w:name="_Toc52981435"/>
      <w:bookmarkStart w:id="5" w:name="_Toc52984554"/>
      <w:bookmarkStart w:id="6" w:name="_Toc53124420"/>
      <w:bookmarkStart w:id="7" w:name="_Toc53143371"/>
      <w:r w:rsidRPr="001A0B66">
        <w:rPr>
          <w:rFonts w:ascii="FrankRuehl" w:hAnsi="FrankRuehl" w:cs="FrankRuehl"/>
          <w:rtl/>
        </w:rPr>
        <w:t>מבוא</w:t>
      </w:r>
      <w:r w:rsidR="00C76975" w:rsidRPr="001A0B66">
        <w:rPr>
          <w:rFonts w:ascii="FrankRuehl" w:hAnsi="FrankRuehl" w:cs="FrankRuehl"/>
          <w:rtl/>
        </w:rPr>
        <w:t xml:space="preserve"> – בעיית </w:t>
      </w:r>
      <w:r w:rsidR="008101C4" w:rsidRPr="001A0B66">
        <w:rPr>
          <w:rFonts w:ascii="FrankRuehl" w:hAnsi="FrankRuehl" w:cs="FrankRuehl"/>
          <w:rtl/>
        </w:rPr>
        <w:t>הראיות החסויות</w:t>
      </w:r>
      <w:r w:rsidR="00C76975" w:rsidRPr="001A0B66">
        <w:rPr>
          <w:rFonts w:ascii="FrankRuehl" w:hAnsi="FrankRuehl" w:cs="FrankRuehl"/>
          <w:rtl/>
        </w:rPr>
        <w:t xml:space="preserve"> וה</w:t>
      </w:r>
      <w:r w:rsidR="006711A0" w:rsidRPr="001A0B66">
        <w:rPr>
          <w:rFonts w:ascii="FrankRuehl" w:hAnsi="FrankRuehl" w:cs="FrankRuehl"/>
          <w:rtl/>
        </w:rPr>
        <w:t>הצעה</w:t>
      </w:r>
      <w:r w:rsidR="00C76975" w:rsidRPr="001A0B66">
        <w:rPr>
          <w:rFonts w:ascii="FrankRuehl" w:hAnsi="FrankRuehl" w:cs="FrankRuehl"/>
          <w:rtl/>
        </w:rPr>
        <w:t xml:space="preserve"> ל</w:t>
      </w:r>
      <w:r w:rsidR="006711A0" w:rsidRPr="001A0B66">
        <w:rPr>
          <w:rFonts w:ascii="FrankRuehl" w:hAnsi="FrankRuehl" w:cs="FrankRuehl"/>
          <w:rtl/>
        </w:rPr>
        <w:t>הפעלת</w:t>
      </w:r>
      <w:r w:rsidR="00C76975" w:rsidRPr="001A0B66">
        <w:rPr>
          <w:rFonts w:ascii="FrankRuehl" w:hAnsi="FrankRuehl" w:cs="FrankRuehl"/>
          <w:rtl/>
        </w:rPr>
        <w:t xml:space="preserve"> פרקליט מיוחד</w:t>
      </w:r>
      <w:bookmarkEnd w:id="4"/>
      <w:bookmarkEnd w:id="5"/>
      <w:bookmarkEnd w:id="6"/>
      <w:bookmarkEnd w:id="7"/>
    </w:p>
    <w:p w14:paraId="54126994" w14:textId="77777777" w:rsidR="00245E3E" w:rsidRPr="001A0B66" w:rsidRDefault="00245E3E"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המשפט הישראלי </w:t>
      </w:r>
      <w:r w:rsidR="00030F45" w:rsidRPr="001A0B66">
        <w:rPr>
          <w:rFonts w:ascii="FrankRuehl" w:hAnsi="FrankRuehl" w:cs="FrankRuehl"/>
          <w:sz w:val="28"/>
          <w:szCs w:val="28"/>
          <w:rtl/>
        </w:rPr>
        <w:t xml:space="preserve">סולל </w:t>
      </w:r>
      <w:r w:rsidRPr="001A0B66">
        <w:rPr>
          <w:rFonts w:ascii="FrankRuehl" w:hAnsi="FrankRuehl" w:cs="FrankRuehl"/>
          <w:sz w:val="28"/>
          <w:szCs w:val="28"/>
          <w:rtl/>
        </w:rPr>
        <w:t xml:space="preserve">שני נתיבים לשימוש בראיות חסויות בהליכים הנוגעים לשלילת חירות. אחד מהם הוא נתיב משני </w:t>
      </w:r>
      <w:r w:rsidR="005F6BD4" w:rsidRPr="001A0B66">
        <w:rPr>
          <w:rFonts w:ascii="FrankRuehl" w:hAnsi="FrankRuehl" w:cs="FrankRuehl"/>
          <w:sz w:val="28"/>
          <w:szCs w:val="28"/>
          <w:rtl/>
        </w:rPr>
        <w:t xml:space="preserve">והוא </w:t>
      </w:r>
      <w:r w:rsidR="006459C7" w:rsidRPr="001A0B66">
        <w:rPr>
          <w:rFonts w:ascii="FrankRuehl" w:hAnsi="FrankRuehl" w:cs="FrankRuehl"/>
          <w:sz w:val="28"/>
          <w:szCs w:val="28"/>
          <w:rtl/>
        </w:rPr>
        <w:t xml:space="preserve">מתקיים </w:t>
      </w:r>
      <w:r w:rsidRPr="001A0B66">
        <w:rPr>
          <w:rFonts w:ascii="FrankRuehl" w:hAnsi="FrankRuehl" w:cs="FrankRuehl"/>
          <w:sz w:val="28"/>
          <w:szCs w:val="28"/>
          <w:rtl/>
        </w:rPr>
        <w:t xml:space="preserve">בהליך הפלילי, משמע בגדרה של הדרך הרגילה להגבלת חירותו של אדם בחברה דמוקרטית. הנתיב האחר, המרכזי, הוא </w:t>
      </w:r>
      <w:r w:rsidR="006459C7" w:rsidRPr="001A0B66">
        <w:rPr>
          <w:rFonts w:ascii="FrankRuehl" w:hAnsi="FrankRuehl" w:cs="FrankRuehl"/>
          <w:sz w:val="28"/>
          <w:szCs w:val="28"/>
          <w:rtl/>
        </w:rPr>
        <w:t xml:space="preserve">הנתיב </w:t>
      </w:r>
      <w:r w:rsidRPr="001A0B66">
        <w:rPr>
          <w:rFonts w:ascii="FrankRuehl" w:hAnsi="FrankRuehl" w:cs="FrankRuehl"/>
          <w:sz w:val="28"/>
          <w:szCs w:val="28"/>
          <w:rtl/>
        </w:rPr>
        <w:t xml:space="preserve">של סמכויות החירום – מעצר מנהלי, צווי הגבלה שונים, איסור יציאה </w:t>
      </w:r>
      <w:r w:rsidR="004E1E80" w:rsidRPr="001A0B66">
        <w:rPr>
          <w:rFonts w:ascii="FrankRuehl" w:hAnsi="FrankRuehl" w:cs="FrankRuehl"/>
          <w:sz w:val="28"/>
          <w:szCs w:val="28"/>
          <w:rtl/>
        </w:rPr>
        <w:t>ל</w:t>
      </w:r>
      <w:r w:rsidRPr="001A0B66">
        <w:rPr>
          <w:rFonts w:ascii="FrankRuehl" w:hAnsi="FrankRuehl" w:cs="FrankRuehl"/>
          <w:sz w:val="28"/>
          <w:szCs w:val="28"/>
          <w:rtl/>
        </w:rPr>
        <w:t xml:space="preserve">חוץ לארץ ועוד רשימה ארוכה של סמכויות </w:t>
      </w:r>
      <w:proofErr w:type="spellStart"/>
      <w:r w:rsidRPr="001A0B66">
        <w:rPr>
          <w:rFonts w:ascii="FrankRuehl" w:hAnsi="FrankRuehl" w:cs="FrankRuehl"/>
          <w:sz w:val="28"/>
          <w:szCs w:val="28"/>
          <w:rtl/>
        </w:rPr>
        <w:t>מ</w:t>
      </w:r>
      <w:r w:rsidR="006459C7" w:rsidRPr="001A0B66">
        <w:rPr>
          <w:rFonts w:ascii="FrankRuehl" w:hAnsi="FrankRuehl" w:cs="FrankRuehl"/>
          <w:sz w:val="28"/>
          <w:szCs w:val="28"/>
          <w:rtl/>
        </w:rPr>
        <w:t>י</w:t>
      </w:r>
      <w:r w:rsidRPr="001A0B66">
        <w:rPr>
          <w:rFonts w:ascii="FrankRuehl" w:hAnsi="FrankRuehl" w:cs="FrankRuehl"/>
          <w:sz w:val="28"/>
          <w:szCs w:val="28"/>
          <w:rtl/>
        </w:rPr>
        <w:t>נהליות</w:t>
      </w:r>
      <w:proofErr w:type="spellEnd"/>
      <w:r w:rsidRPr="001A0B66">
        <w:rPr>
          <w:rFonts w:ascii="FrankRuehl" w:hAnsi="FrankRuehl" w:cs="FrankRuehl"/>
          <w:sz w:val="28"/>
          <w:szCs w:val="28"/>
          <w:rtl/>
        </w:rPr>
        <w:t xml:space="preserve"> להגבלת זכויות או להטלת חובות</w:t>
      </w:r>
      <w:r w:rsidR="005130FD" w:rsidRPr="001A0B66">
        <w:rPr>
          <w:rFonts w:ascii="FrankRuehl" w:hAnsi="FrankRuehl" w:cs="FrankRuehl"/>
          <w:sz w:val="28"/>
          <w:szCs w:val="28"/>
          <w:rtl/>
        </w:rPr>
        <w:t>.</w:t>
      </w:r>
      <w:r w:rsidRPr="001A0B66">
        <w:rPr>
          <w:rFonts w:ascii="FrankRuehl" w:hAnsi="FrankRuehl" w:cs="FrankRuehl"/>
          <w:sz w:val="28"/>
          <w:szCs w:val="28"/>
          <w:rtl/>
        </w:rPr>
        <w:t xml:space="preserve"> הפעלת סמכויות אלו נשענת </w:t>
      </w:r>
      <w:r w:rsidR="00030F45" w:rsidRPr="001A0B66">
        <w:rPr>
          <w:rFonts w:ascii="FrankRuehl" w:hAnsi="FrankRuehl" w:cs="FrankRuehl"/>
          <w:sz w:val="28"/>
          <w:szCs w:val="28"/>
          <w:rtl/>
        </w:rPr>
        <w:t xml:space="preserve">רובה ככולה </w:t>
      </w:r>
      <w:r w:rsidRPr="001A0B66">
        <w:rPr>
          <w:rFonts w:ascii="FrankRuehl" w:hAnsi="FrankRuehl" w:cs="FrankRuehl"/>
          <w:sz w:val="28"/>
          <w:szCs w:val="28"/>
          <w:rtl/>
        </w:rPr>
        <w:t xml:space="preserve">על ראיות חסויות. </w:t>
      </w:r>
    </w:p>
    <w:p w14:paraId="61693046" w14:textId="77777777" w:rsidR="00245E3E" w:rsidRPr="001A0B66" w:rsidRDefault="00245E3E"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בנתיב הפלילי נעשה שימוש בחומר חסוי בשני הקשרים עיקריים, ובשניהם מוגבל</w:t>
      </w:r>
      <w:r w:rsidR="006459C7" w:rsidRPr="001A0B66">
        <w:rPr>
          <w:rFonts w:ascii="FrankRuehl" w:hAnsi="FrankRuehl" w:cs="FrankRuehl"/>
          <w:sz w:val="28"/>
          <w:szCs w:val="28"/>
          <w:rtl/>
        </w:rPr>
        <w:t xml:space="preserve"> שימוש זה</w:t>
      </w:r>
      <w:r w:rsidRPr="001A0B66">
        <w:rPr>
          <w:rFonts w:ascii="FrankRuehl" w:hAnsi="FrankRuehl" w:cs="FrankRuehl"/>
          <w:sz w:val="28"/>
          <w:szCs w:val="28"/>
          <w:rtl/>
        </w:rPr>
        <w:t xml:space="preserve"> בזמן או במהות. הקשר אחד הוא הליכי מעצר של חשוד ("מעצר ימים"), שבהם המשטרה אינה מגלה לחשוד ראיות כל עוד הוא נמצא בשלב החקירה והמעצר.</w:t>
      </w:r>
      <w:r w:rsidRPr="001A0B66">
        <w:rPr>
          <w:rStyle w:val="FootnoteReference"/>
          <w:rFonts w:ascii="FrankRuehl" w:hAnsi="FrankRuehl" w:cs="FrankRuehl"/>
          <w:sz w:val="28"/>
          <w:szCs w:val="28"/>
          <w:rtl/>
        </w:rPr>
        <w:footnoteReference w:id="3"/>
      </w:r>
      <w:r w:rsidRPr="001A0B66">
        <w:rPr>
          <w:rFonts w:ascii="FrankRuehl" w:hAnsi="FrankRuehl" w:cs="FrankRuehl"/>
          <w:sz w:val="28"/>
          <w:szCs w:val="28"/>
          <w:rtl/>
        </w:rPr>
        <w:t xml:space="preserve"> הקשר שני הוא ב</w:t>
      </w:r>
      <w:r w:rsidR="004E1E80" w:rsidRPr="001A0B66">
        <w:rPr>
          <w:rFonts w:ascii="FrankRuehl" w:hAnsi="FrankRuehl" w:cs="FrankRuehl"/>
          <w:sz w:val="28"/>
          <w:szCs w:val="28"/>
          <w:rtl/>
        </w:rPr>
        <w:t>שלב</w:t>
      </w:r>
      <w:r w:rsidRPr="001A0B66">
        <w:rPr>
          <w:rFonts w:ascii="FrankRuehl" w:hAnsi="FrankRuehl" w:cs="FrankRuehl"/>
          <w:sz w:val="28"/>
          <w:szCs w:val="28"/>
          <w:rtl/>
        </w:rPr>
        <w:t xml:space="preserve"> ההעמדה לדין. </w:t>
      </w:r>
      <w:r w:rsidR="008D1B82" w:rsidRPr="001A0B66">
        <w:rPr>
          <w:rFonts w:ascii="FrankRuehl" w:hAnsi="FrankRuehl" w:cs="FrankRuehl"/>
          <w:sz w:val="28"/>
          <w:szCs w:val="28"/>
          <w:rtl/>
        </w:rPr>
        <w:t>ה</w:t>
      </w:r>
      <w:r w:rsidR="005130FD" w:rsidRPr="001A0B66">
        <w:rPr>
          <w:rFonts w:ascii="FrankRuehl" w:hAnsi="FrankRuehl" w:cs="FrankRuehl"/>
          <w:sz w:val="28"/>
          <w:szCs w:val="28"/>
          <w:rtl/>
        </w:rPr>
        <w:t xml:space="preserve">הלכה הפסוקה מורה </w:t>
      </w:r>
      <w:r w:rsidR="008B4B7A" w:rsidRPr="001A0B66">
        <w:rPr>
          <w:rFonts w:ascii="FrankRuehl" w:hAnsi="FrankRuehl" w:cs="FrankRuehl"/>
          <w:sz w:val="28"/>
          <w:szCs w:val="28"/>
          <w:rtl/>
        </w:rPr>
        <w:t>ל</w:t>
      </w:r>
      <w:r w:rsidRPr="001A0B66">
        <w:rPr>
          <w:rFonts w:ascii="FrankRuehl" w:hAnsi="FrankRuehl" w:cs="FrankRuehl"/>
          <w:sz w:val="28"/>
          <w:szCs w:val="28"/>
          <w:rtl/>
        </w:rPr>
        <w:t xml:space="preserve">מדינה </w:t>
      </w:r>
      <w:r w:rsidR="008B4B7A" w:rsidRPr="001A0B66">
        <w:rPr>
          <w:rFonts w:ascii="FrankRuehl" w:hAnsi="FrankRuehl" w:cs="FrankRuehl"/>
          <w:sz w:val="28"/>
          <w:szCs w:val="28"/>
          <w:rtl/>
        </w:rPr>
        <w:t>על חובתה</w:t>
      </w:r>
      <w:r w:rsidRPr="001A0B66">
        <w:rPr>
          <w:rFonts w:ascii="FrankRuehl" w:hAnsi="FrankRuehl" w:cs="FrankRuehl"/>
          <w:sz w:val="28"/>
          <w:szCs w:val="28"/>
          <w:rtl/>
        </w:rPr>
        <w:t xml:space="preserve"> לחשוף </w:t>
      </w:r>
      <w:r w:rsidR="00B17EAB" w:rsidRPr="001A0B66">
        <w:rPr>
          <w:rFonts w:ascii="FrankRuehl" w:hAnsi="FrankRuehl" w:cs="FrankRuehl"/>
          <w:sz w:val="28"/>
          <w:szCs w:val="28"/>
          <w:rtl/>
        </w:rPr>
        <w:t xml:space="preserve">בפני הנאשם </w:t>
      </w:r>
      <w:r w:rsidRPr="001A0B66">
        <w:rPr>
          <w:rFonts w:ascii="FrankRuehl" w:hAnsi="FrankRuehl" w:cs="FrankRuehl"/>
          <w:sz w:val="28"/>
          <w:szCs w:val="28"/>
          <w:rtl/>
        </w:rPr>
        <w:t>את אותן ראיות חסויות שההיכרות ע</w:t>
      </w:r>
      <w:r w:rsidR="00836624" w:rsidRPr="001A0B66">
        <w:rPr>
          <w:rFonts w:ascii="FrankRuehl" w:hAnsi="FrankRuehl" w:cs="FrankRuehl"/>
          <w:sz w:val="28"/>
          <w:szCs w:val="28"/>
          <w:rtl/>
        </w:rPr>
        <w:t>י</w:t>
      </w:r>
      <w:r w:rsidRPr="001A0B66">
        <w:rPr>
          <w:rFonts w:ascii="FrankRuehl" w:hAnsi="FrankRuehl" w:cs="FrankRuehl"/>
          <w:sz w:val="28"/>
          <w:szCs w:val="28"/>
          <w:rtl/>
        </w:rPr>
        <w:t>מן חיונית להגנת</w:t>
      </w:r>
      <w:r w:rsidR="00B17EAB" w:rsidRPr="001A0B66">
        <w:rPr>
          <w:rFonts w:ascii="FrankRuehl" w:hAnsi="FrankRuehl" w:cs="FrankRuehl"/>
          <w:sz w:val="28"/>
          <w:szCs w:val="28"/>
          <w:rtl/>
        </w:rPr>
        <w:t>ו,</w:t>
      </w:r>
      <w:r w:rsidRPr="001A0B66">
        <w:rPr>
          <w:rFonts w:ascii="FrankRuehl" w:hAnsi="FrankRuehl" w:cs="FrankRuehl"/>
          <w:sz w:val="28"/>
          <w:szCs w:val="28"/>
          <w:rtl/>
        </w:rPr>
        <w:t xml:space="preserve"> ואם היא מתקשה לחשוף ראיות אלו</w:t>
      </w:r>
      <w:r w:rsidR="00B17EAB" w:rsidRPr="001A0B66">
        <w:rPr>
          <w:rFonts w:ascii="FrankRuehl" w:hAnsi="FrankRuehl" w:cs="FrankRuehl"/>
          <w:sz w:val="28"/>
          <w:szCs w:val="28"/>
          <w:rtl/>
        </w:rPr>
        <w:t xml:space="preserve"> –</w:t>
      </w:r>
      <w:r w:rsidRPr="001A0B66">
        <w:rPr>
          <w:rFonts w:ascii="FrankRuehl" w:hAnsi="FrankRuehl" w:cs="FrankRuehl"/>
          <w:sz w:val="28"/>
          <w:szCs w:val="28"/>
          <w:rtl/>
        </w:rPr>
        <w:t xml:space="preserve"> עומדת לה הברירה לסגת מכתב האישום או מחלק ממנו.</w:t>
      </w:r>
      <w:bookmarkStart w:id="8" w:name="_Ref53029853"/>
      <w:r w:rsidR="005130FD" w:rsidRPr="001A0B66">
        <w:rPr>
          <w:rStyle w:val="FootnoteReference"/>
          <w:rFonts w:ascii="FrankRuehl" w:hAnsi="FrankRuehl" w:cs="FrankRuehl"/>
          <w:sz w:val="28"/>
          <w:szCs w:val="28"/>
          <w:rtl/>
        </w:rPr>
        <w:footnoteReference w:id="4"/>
      </w:r>
      <w:r w:rsidR="005130FD" w:rsidRPr="001A0B66">
        <w:rPr>
          <w:rStyle w:val="FootnoteReference"/>
          <w:rFonts w:ascii="FrankRuehl" w:hAnsi="FrankRuehl" w:cs="FrankRuehl"/>
          <w:sz w:val="28"/>
          <w:szCs w:val="28"/>
          <w:rtl/>
        </w:rPr>
        <w:t xml:space="preserve"> </w:t>
      </w:r>
      <w:r w:rsidR="008D1B82" w:rsidRPr="001A0B66">
        <w:rPr>
          <w:rFonts w:ascii="FrankRuehl" w:hAnsi="FrankRuehl" w:cs="FrankRuehl"/>
          <w:sz w:val="28"/>
          <w:szCs w:val="28"/>
          <w:rtl/>
        </w:rPr>
        <w:t xml:space="preserve">לעיתים נדירות מבקשת המדינה להטיל חיסיון על הראיות שבידיה, </w:t>
      </w:r>
      <w:r w:rsidR="00B24843" w:rsidRPr="001A0B66">
        <w:rPr>
          <w:rFonts w:ascii="FrankRuehl" w:hAnsi="FrankRuehl" w:cs="FrankRuehl"/>
          <w:sz w:val="28"/>
          <w:szCs w:val="28"/>
          <w:rtl/>
        </w:rPr>
        <w:t xml:space="preserve">ואכן </w:t>
      </w:r>
      <w:r w:rsidR="008D1B82" w:rsidRPr="001A0B66">
        <w:rPr>
          <w:rFonts w:ascii="FrankRuehl" w:hAnsi="FrankRuehl" w:cs="FrankRuehl"/>
          <w:sz w:val="28"/>
          <w:szCs w:val="28"/>
          <w:rtl/>
        </w:rPr>
        <w:t>האפשרות לכך</w:t>
      </w:r>
      <w:r w:rsidR="008B4B7A" w:rsidRPr="001A0B66">
        <w:rPr>
          <w:rFonts w:ascii="FrankRuehl" w:hAnsi="FrankRuehl" w:cs="FrankRuehl"/>
          <w:sz w:val="28"/>
          <w:szCs w:val="28"/>
          <w:rtl/>
        </w:rPr>
        <w:t>,</w:t>
      </w:r>
      <w:r w:rsidR="00327450" w:rsidRPr="001A0B66">
        <w:rPr>
          <w:rFonts w:ascii="FrankRuehl" w:hAnsi="FrankRuehl" w:cs="FrankRuehl"/>
          <w:sz w:val="28"/>
          <w:szCs w:val="28"/>
          <w:rtl/>
        </w:rPr>
        <w:t xml:space="preserve"> </w:t>
      </w:r>
      <w:r w:rsidR="00E90297" w:rsidRPr="001A0B66">
        <w:rPr>
          <w:rFonts w:ascii="FrankRuehl" w:hAnsi="FrankRuehl" w:cs="FrankRuehl"/>
          <w:sz w:val="28"/>
          <w:szCs w:val="28"/>
          <w:rtl/>
        </w:rPr>
        <w:t>כמפורט בהלכה הפסוקה</w:t>
      </w:r>
      <w:r w:rsidR="008B4B7A" w:rsidRPr="001A0B66">
        <w:rPr>
          <w:rFonts w:ascii="FrankRuehl" w:hAnsi="FrankRuehl" w:cs="FrankRuehl"/>
          <w:sz w:val="28"/>
          <w:szCs w:val="28"/>
          <w:rtl/>
        </w:rPr>
        <w:t>,</w:t>
      </w:r>
      <w:r w:rsidR="005130FD" w:rsidRPr="001A0B66">
        <w:rPr>
          <w:rFonts w:ascii="FrankRuehl" w:hAnsi="FrankRuehl" w:cs="FrankRuehl"/>
          <w:sz w:val="28"/>
          <w:szCs w:val="28"/>
          <w:rtl/>
        </w:rPr>
        <w:t xml:space="preserve"> </w:t>
      </w:r>
      <w:r w:rsidR="008D1B82" w:rsidRPr="001A0B66">
        <w:rPr>
          <w:rFonts w:ascii="FrankRuehl" w:hAnsi="FrankRuehl" w:cs="FrankRuehl"/>
          <w:sz w:val="28"/>
          <w:szCs w:val="28"/>
          <w:rtl/>
        </w:rPr>
        <w:t xml:space="preserve">מצומצמת מאוד. </w:t>
      </w:r>
      <w:r w:rsidR="006459C7" w:rsidRPr="001A0B66">
        <w:rPr>
          <w:rFonts w:ascii="FrankRuehl" w:hAnsi="FrankRuehl" w:cs="FrankRuehl"/>
          <w:sz w:val="28"/>
          <w:szCs w:val="28"/>
          <w:rtl/>
        </w:rPr>
        <w:t xml:space="preserve">ראיות הנותרות חסויות בהליך </w:t>
      </w:r>
      <w:r w:rsidR="00327450" w:rsidRPr="001A0B66">
        <w:rPr>
          <w:rFonts w:ascii="FrankRuehl" w:hAnsi="FrankRuehl" w:cs="FrankRuehl"/>
          <w:sz w:val="28"/>
          <w:szCs w:val="28"/>
          <w:rtl/>
        </w:rPr>
        <w:t>האישום ה</w:t>
      </w:r>
      <w:r w:rsidR="006459C7" w:rsidRPr="001A0B66">
        <w:rPr>
          <w:rFonts w:ascii="FrankRuehl" w:hAnsi="FrankRuehl" w:cs="FrankRuehl"/>
          <w:sz w:val="28"/>
          <w:szCs w:val="28"/>
          <w:rtl/>
        </w:rPr>
        <w:t>פלילי אינן מוצגות לבית המשפט ואינן משמשות לביסוס הרשעה.</w:t>
      </w:r>
      <w:bookmarkEnd w:id="8"/>
      <w:r w:rsidRPr="001A0B66">
        <w:rPr>
          <w:rStyle w:val="FootnoteReference"/>
          <w:rFonts w:ascii="FrankRuehl" w:hAnsi="FrankRuehl" w:cs="FrankRuehl"/>
          <w:sz w:val="28"/>
          <w:szCs w:val="28"/>
          <w:rtl/>
        </w:rPr>
        <w:t xml:space="preserve"> </w:t>
      </w:r>
    </w:p>
    <w:p w14:paraId="1B6DE1A5" w14:textId="77777777" w:rsidR="006E4A43" w:rsidRPr="001A0B66" w:rsidRDefault="0047265F"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מוקד ענייננו</w:t>
      </w:r>
      <w:r w:rsidR="00E12289" w:rsidRPr="001A0B66">
        <w:rPr>
          <w:rFonts w:ascii="FrankRuehl" w:hAnsi="FrankRuehl" w:cs="FrankRuehl"/>
          <w:sz w:val="28"/>
          <w:szCs w:val="28"/>
          <w:rtl/>
        </w:rPr>
        <w:t xml:space="preserve"> הוא הנתיב</w:t>
      </w:r>
      <w:r w:rsidR="0093216B" w:rsidRPr="001A0B66">
        <w:rPr>
          <w:rFonts w:ascii="FrankRuehl" w:hAnsi="FrankRuehl" w:cs="FrankRuehl"/>
          <w:sz w:val="28"/>
          <w:szCs w:val="28"/>
          <w:rtl/>
        </w:rPr>
        <w:t xml:space="preserve"> האחר,</w:t>
      </w:r>
      <w:r w:rsidR="00E12289" w:rsidRPr="001A0B66">
        <w:rPr>
          <w:rFonts w:ascii="FrankRuehl" w:hAnsi="FrankRuehl" w:cs="FrankRuehl"/>
          <w:sz w:val="28"/>
          <w:szCs w:val="28"/>
          <w:rtl/>
        </w:rPr>
        <w:t xml:space="preserve"> המרכזי</w:t>
      </w:r>
      <w:r w:rsidR="00E148AF" w:rsidRPr="001A0B66">
        <w:rPr>
          <w:rFonts w:ascii="FrankRuehl" w:hAnsi="FrankRuehl" w:cs="FrankRuehl"/>
          <w:sz w:val="28"/>
          <w:szCs w:val="28"/>
          <w:rtl/>
        </w:rPr>
        <w:t>, לשימוש בראיות חסויות</w:t>
      </w:r>
      <w:r w:rsidR="00FA4953" w:rsidRPr="001A0B66">
        <w:rPr>
          <w:rFonts w:ascii="FrankRuehl" w:hAnsi="FrankRuehl" w:cs="FrankRuehl"/>
          <w:sz w:val="28"/>
          <w:szCs w:val="28"/>
          <w:rtl/>
        </w:rPr>
        <w:t xml:space="preserve">: </w:t>
      </w:r>
      <w:r w:rsidR="004E1E80" w:rsidRPr="001A0B66">
        <w:rPr>
          <w:rFonts w:ascii="FrankRuehl" w:hAnsi="FrankRuehl" w:cs="FrankRuehl"/>
          <w:sz w:val="28"/>
          <w:szCs w:val="28"/>
          <w:rtl/>
        </w:rPr>
        <w:t>שלילת חירות ו</w:t>
      </w:r>
      <w:r w:rsidRPr="001A0B66">
        <w:rPr>
          <w:rFonts w:ascii="FrankRuehl" w:hAnsi="FrankRuehl" w:cs="FrankRuehl"/>
          <w:sz w:val="28"/>
          <w:szCs w:val="28"/>
          <w:rtl/>
        </w:rPr>
        <w:t xml:space="preserve">הגבלת זכויות אדם </w:t>
      </w:r>
      <w:r w:rsidR="00974AE4" w:rsidRPr="001A0B66">
        <w:rPr>
          <w:rFonts w:ascii="FrankRuehl" w:hAnsi="FrankRuehl" w:cs="FrankRuehl"/>
          <w:sz w:val="28"/>
          <w:szCs w:val="28"/>
          <w:rtl/>
        </w:rPr>
        <w:t xml:space="preserve">נוספות </w:t>
      </w:r>
      <w:r w:rsidRPr="001A0B66">
        <w:rPr>
          <w:rFonts w:ascii="FrankRuehl" w:hAnsi="FrankRuehl" w:cs="FrankRuehl"/>
          <w:sz w:val="28"/>
          <w:szCs w:val="28"/>
          <w:rtl/>
        </w:rPr>
        <w:t xml:space="preserve">מכוח סמכויות </w:t>
      </w:r>
      <w:r w:rsidR="001657F0" w:rsidRPr="001A0B66">
        <w:rPr>
          <w:rFonts w:ascii="FrankRuehl" w:hAnsi="FrankRuehl" w:cs="FrankRuehl"/>
          <w:sz w:val="28"/>
          <w:szCs w:val="28"/>
          <w:rtl/>
        </w:rPr>
        <w:t>ה</w:t>
      </w:r>
      <w:r w:rsidRPr="001A0B66">
        <w:rPr>
          <w:rFonts w:ascii="FrankRuehl" w:hAnsi="FrankRuehl" w:cs="FrankRuehl"/>
          <w:sz w:val="28"/>
          <w:szCs w:val="28"/>
          <w:rtl/>
        </w:rPr>
        <w:t xml:space="preserve">חירום הנתונות לרשויות </w:t>
      </w:r>
      <w:r w:rsidR="006E4A43" w:rsidRPr="001A0B66">
        <w:rPr>
          <w:rFonts w:ascii="FrankRuehl" w:hAnsi="FrankRuehl" w:cs="FrankRuehl"/>
          <w:sz w:val="28"/>
          <w:szCs w:val="28"/>
          <w:rtl/>
        </w:rPr>
        <w:t>הביטחון</w:t>
      </w:r>
      <w:r w:rsidR="00FA4953" w:rsidRPr="001A0B66">
        <w:rPr>
          <w:rFonts w:ascii="FrankRuehl" w:hAnsi="FrankRuehl" w:cs="FrankRuehl"/>
          <w:sz w:val="28"/>
          <w:szCs w:val="28"/>
          <w:rtl/>
        </w:rPr>
        <w:t>.</w:t>
      </w:r>
      <w:r w:rsidR="00275C72" w:rsidRPr="001A0B66">
        <w:rPr>
          <w:rFonts w:ascii="FrankRuehl" w:hAnsi="FrankRuehl" w:cs="FrankRuehl"/>
          <w:sz w:val="28"/>
          <w:szCs w:val="28"/>
          <w:rtl/>
        </w:rPr>
        <w:t xml:space="preserve"> </w:t>
      </w:r>
      <w:r w:rsidRPr="001A0B66">
        <w:rPr>
          <w:rFonts w:ascii="FrankRuehl" w:hAnsi="FrankRuehl" w:cs="FrankRuehl"/>
          <w:sz w:val="28"/>
          <w:szCs w:val="28"/>
          <w:rtl/>
        </w:rPr>
        <w:t>בניגוד להליך הפלילי</w:t>
      </w:r>
      <w:r w:rsidR="008822C3" w:rsidRPr="001A0B66">
        <w:rPr>
          <w:rFonts w:ascii="FrankRuehl" w:hAnsi="FrankRuehl" w:cs="FrankRuehl"/>
          <w:sz w:val="28"/>
          <w:szCs w:val="28"/>
          <w:rtl/>
        </w:rPr>
        <w:t>, שבו ההכרעה</w:t>
      </w:r>
      <w:r w:rsidR="005B5678" w:rsidRPr="001A0B66">
        <w:rPr>
          <w:rFonts w:ascii="FrankRuehl" w:hAnsi="FrankRuehl" w:cs="FrankRuehl"/>
          <w:sz w:val="28"/>
          <w:szCs w:val="28"/>
          <w:rtl/>
        </w:rPr>
        <w:t xml:space="preserve"> בדבר</w:t>
      </w:r>
      <w:r w:rsidR="008822C3" w:rsidRPr="001A0B66">
        <w:rPr>
          <w:rFonts w:ascii="FrankRuehl" w:hAnsi="FrankRuehl" w:cs="FrankRuehl"/>
          <w:sz w:val="28"/>
          <w:szCs w:val="28"/>
          <w:rtl/>
        </w:rPr>
        <w:t xml:space="preserve"> זיכוי, הרשעה </w:t>
      </w:r>
      <w:r w:rsidR="009E06CD" w:rsidRPr="001A0B66">
        <w:rPr>
          <w:rFonts w:ascii="FrankRuehl" w:hAnsi="FrankRuehl" w:cs="FrankRuehl"/>
          <w:sz w:val="28"/>
          <w:szCs w:val="28"/>
          <w:rtl/>
        </w:rPr>
        <w:t>ו</w:t>
      </w:r>
      <w:r w:rsidR="008822C3" w:rsidRPr="001A0B66">
        <w:rPr>
          <w:rFonts w:ascii="FrankRuehl" w:hAnsi="FrankRuehl" w:cs="FrankRuehl"/>
          <w:sz w:val="28"/>
          <w:szCs w:val="28"/>
          <w:rtl/>
        </w:rPr>
        <w:t>ענישה מסורה לבית המשפט</w:t>
      </w:r>
      <w:r w:rsidR="00B75746" w:rsidRPr="001A0B66">
        <w:rPr>
          <w:rFonts w:ascii="FrankRuehl" w:hAnsi="FrankRuehl" w:cs="FrankRuehl"/>
          <w:sz w:val="28"/>
          <w:szCs w:val="28"/>
          <w:rtl/>
        </w:rPr>
        <w:t xml:space="preserve"> </w:t>
      </w:r>
      <w:r w:rsidR="00AE6419" w:rsidRPr="001A0B66">
        <w:rPr>
          <w:rFonts w:ascii="FrankRuehl" w:hAnsi="FrankRuehl" w:cs="FrankRuehl"/>
          <w:sz w:val="28"/>
          <w:szCs w:val="28"/>
          <w:rtl/>
        </w:rPr>
        <w:t xml:space="preserve">לבדו </w:t>
      </w:r>
      <w:r w:rsidR="00B75746" w:rsidRPr="001A0B66">
        <w:rPr>
          <w:rFonts w:ascii="FrankRuehl" w:hAnsi="FrankRuehl" w:cs="FrankRuehl"/>
          <w:sz w:val="28"/>
          <w:szCs w:val="28"/>
          <w:rtl/>
        </w:rPr>
        <w:t>לאחר שקיים הליך משפטי מדוקדק</w:t>
      </w:r>
      <w:r w:rsidR="008822C3" w:rsidRPr="001A0B66">
        <w:rPr>
          <w:rFonts w:ascii="FrankRuehl" w:hAnsi="FrankRuehl" w:cs="FrankRuehl"/>
          <w:sz w:val="28"/>
          <w:szCs w:val="28"/>
          <w:rtl/>
        </w:rPr>
        <w:t xml:space="preserve">, סמכויות החירום מסורות לרשויות </w:t>
      </w:r>
      <w:r w:rsidR="008101C4" w:rsidRPr="001A0B66">
        <w:rPr>
          <w:rFonts w:ascii="FrankRuehl" w:hAnsi="FrankRuehl" w:cs="FrankRuehl"/>
          <w:sz w:val="28"/>
          <w:szCs w:val="28"/>
          <w:rtl/>
        </w:rPr>
        <w:t>מנהליות</w:t>
      </w:r>
      <w:r w:rsidR="008822C3" w:rsidRPr="001A0B66">
        <w:rPr>
          <w:rFonts w:ascii="FrankRuehl" w:hAnsi="FrankRuehl" w:cs="FrankRuehl"/>
          <w:sz w:val="28"/>
          <w:szCs w:val="28"/>
          <w:rtl/>
        </w:rPr>
        <w:t xml:space="preserve">; </w:t>
      </w:r>
      <w:r w:rsidRPr="001A0B66">
        <w:rPr>
          <w:rFonts w:ascii="FrankRuehl" w:hAnsi="FrankRuehl" w:cs="FrankRuehl"/>
          <w:sz w:val="28"/>
          <w:szCs w:val="28"/>
          <w:rtl/>
        </w:rPr>
        <w:t xml:space="preserve">לבתי המשפט </w:t>
      </w:r>
      <w:r w:rsidR="008822C3" w:rsidRPr="001A0B66">
        <w:rPr>
          <w:rFonts w:ascii="FrankRuehl" w:hAnsi="FrankRuehl" w:cs="FrankRuehl"/>
          <w:sz w:val="28"/>
          <w:szCs w:val="28"/>
          <w:rtl/>
        </w:rPr>
        <w:t xml:space="preserve">נתונה </w:t>
      </w:r>
      <w:r w:rsidR="00E90297" w:rsidRPr="001A0B66">
        <w:rPr>
          <w:rFonts w:ascii="FrankRuehl" w:hAnsi="FrankRuehl" w:cs="FrankRuehl"/>
          <w:sz w:val="28"/>
          <w:szCs w:val="28"/>
          <w:rtl/>
        </w:rPr>
        <w:t xml:space="preserve">לכאורה </w:t>
      </w:r>
      <w:r w:rsidR="008822C3" w:rsidRPr="001A0B66">
        <w:rPr>
          <w:rFonts w:ascii="FrankRuehl" w:hAnsi="FrankRuehl" w:cs="FrankRuehl"/>
          <w:sz w:val="28"/>
          <w:szCs w:val="28"/>
          <w:rtl/>
        </w:rPr>
        <w:t>רק סמכות הבקרה</w:t>
      </w:r>
      <w:r w:rsidR="00B75746" w:rsidRPr="001A0B66">
        <w:rPr>
          <w:rFonts w:ascii="FrankRuehl" w:hAnsi="FrankRuehl" w:cs="FrankRuehl"/>
          <w:sz w:val="28"/>
          <w:szCs w:val="28"/>
          <w:rtl/>
        </w:rPr>
        <w:t>,</w:t>
      </w:r>
      <w:r w:rsidR="00E90297" w:rsidRPr="001A0B66">
        <w:rPr>
          <w:rStyle w:val="FootnoteReference"/>
          <w:rFonts w:ascii="FrankRuehl" w:hAnsi="FrankRuehl" w:cs="FrankRuehl"/>
          <w:sz w:val="28"/>
          <w:szCs w:val="28"/>
          <w:rtl/>
        </w:rPr>
        <w:footnoteReference w:id="5"/>
      </w:r>
      <w:r w:rsidR="00B75746" w:rsidRPr="001A0B66">
        <w:rPr>
          <w:rFonts w:ascii="FrankRuehl" w:hAnsi="FrankRuehl" w:cs="FrankRuehl"/>
          <w:sz w:val="28"/>
          <w:szCs w:val="28"/>
          <w:rtl/>
        </w:rPr>
        <w:t xml:space="preserve"> ואנו מגיעים כאן </w:t>
      </w:r>
      <w:r w:rsidR="008822C3" w:rsidRPr="001A0B66">
        <w:rPr>
          <w:rFonts w:ascii="FrankRuehl" w:hAnsi="FrankRuehl" w:cs="FrankRuehl"/>
          <w:sz w:val="28"/>
          <w:szCs w:val="28"/>
          <w:rtl/>
        </w:rPr>
        <w:t xml:space="preserve">למחוזות קפקאיים. </w:t>
      </w:r>
      <w:r w:rsidR="00465A05" w:rsidRPr="001A0B66">
        <w:rPr>
          <w:rFonts w:ascii="FrankRuehl" w:hAnsi="FrankRuehl" w:cs="FrankRuehl"/>
          <w:sz w:val="28"/>
          <w:szCs w:val="28"/>
          <w:rtl/>
        </w:rPr>
        <w:t>מעצר מנהלי</w:t>
      </w:r>
      <w:r w:rsidR="00B75746" w:rsidRPr="001A0B66">
        <w:rPr>
          <w:rFonts w:ascii="FrankRuehl" w:hAnsi="FrankRuehl" w:cs="FrankRuehl"/>
          <w:sz w:val="28"/>
          <w:szCs w:val="28"/>
          <w:rtl/>
        </w:rPr>
        <w:t>, למשל,</w:t>
      </w:r>
      <w:r w:rsidR="00465A05" w:rsidRPr="001A0B66">
        <w:rPr>
          <w:rFonts w:ascii="FrankRuehl" w:hAnsi="FrankRuehl" w:cs="FrankRuehl"/>
          <w:sz w:val="28"/>
          <w:szCs w:val="28"/>
          <w:rtl/>
        </w:rPr>
        <w:t xml:space="preserve"> </w:t>
      </w:r>
      <w:r w:rsidR="001657F0" w:rsidRPr="001A0B66">
        <w:rPr>
          <w:rFonts w:ascii="FrankRuehl" w:hAnsi="FrankRuehl" w:cs="FrankRuehl"/>
          <w:sz w:val="28"/>
          <w:szCs w:val="28"/>
          <w:rtl/>
        </w:rPr>
        <w:t xml:space="preserve">הוא </w:t>
      </w:r>
      <w:r w:rsidR="00465A05" w:rsidRPr="001A0B66">
        <w:rPr>
          <w:rFonts w:ascii="FrankRuehl" w:hAnsi="FrankRuehl" w:cs="FrankRuehl"/>
          <w:sz w:val="28"/>
          <w:szCs w:val="28"/>
          <w:rtl/>
        </w:rPr>
        <w:t xml:space="preserve">שלילה מלאה </w:t>
      </w:r>
      <w:r w:rsidR="001657F0" w:rsidRPr="001A0B66">
        <w:rPr>
          <w:rFonts w:ascii="FrankRuehl" w:hAnsi="FrankRuehl" w:cs="FrankRuehl"/>
          <w:sz w:val="28"/>
          <w:szCs w:val="28"/>
          <w:rtl/>
        </w:rPr>
        <w:t xml:space="preserve">של </w:t>
      </w:r>
      <w:r w:rsidR="00465A05" w:rsidRPr="001A0B66">
        <w:rPr>
          <w:rFonts w:ascii="FrankRuehl" w:hAnsi="FrankRuehl" w:cs="FrankRuehl"/>
          <w:sz w:val="28"/>
          <w:szCs w:val="28"/>
          <w:rtl/>
        </w:rPr>
        <w:t>חירות</w:t>
      </w:r>
      <w:r w:rsidR="001657F0" w:rsidRPr="001A0B66">
        <w:rPr>
          <w:rFonts w:ascii="FrankRuehl" w:hAnsi="FrankRuehl" w:cs="FrankRuehl"/>
          <w:sz w:val="28"/>
          <w:szCs w:val="28"/>
          <w:rtl/>
        </w:rPr>
        <w:t>ו</w:t>
      </w:r>
      <w:r w:rsidR="00465A05" w:rsidRPr="001A0B66">
        <w:rPr>
          <w:rFonts w:ascii="FrankRuehl" w:hAnsi="FrankRuehl" w:cs="FrankRuehl"/>
          <w:sz w:val="28"/>
          <w:szCs w:val="28"/>
          <w:rtl/>
        </w:rPr>
        <w:t xml:space="preserve"> </w:t>
      </w:r>
      <w:r w:rsidR="00465A05" w:rsidRPr="001A0B66">
        <w:rPr>
          <w:rFonts w:ascii="FrankRuehl" w:hAnsi="FrankRuehl" w:cs="FrankRuehl"/>
          <w:sz w:val="28"/>
          <w:szCs w:val="28"/>
          <w:rtl/>
        </w:rPr>
        <w:lastRenderedPageBreak/>
        <w:t xml:space="preserve">של אדם לא כענישה על התנהגות עבריינית שהוכחה </w:t>
      </w:r>
      <w:r w:rsidR="00275C72" w:rsidRPr="001A0B66">
        <w:rPr>
          <w:rFonts w:ascii="FrankRuehl" w:hAnsi="FrankRuehl" w:cs="FrankRuehl"/>
          <w:sz w:val="28"/>
          <w:szCs w:val="28"/>
          <w:rtl/>
        </w:rPr>
        <w:t>ב</w:t>
      </w:r>
      <w:r w:rsidR="00465A05" w:rsidRPr="001A0B66">
        <w:rPr>
          <w:rFonts w:ascii="FrankRuehl" w:hAnsi="FrankRuehl" w:cs="FrankRuehl"/>
          <w:sz w:val="28"/>
          <w:szCs w:val="28"/>
          <w:rtl/>
        </w:rPr>
        <w:t xml:space="preserve">הליכים פליליים, אלא על יסוד </w:t>
      </w:r>
      <w:r w:rsidR="00F16101" w:rsidRPr="001A0B66">
        <w:rPr>
          <w:rFonts w:ascii="FrankRuehl" w:hAnsi="FrankRuehl" w:cs="FrankRuehl"/>
          <w:sz w:val="28"/>
          <w:szCs w:val="28"/>
          <w:rtl/>
        </w:rPr>
        <w:t xml:space="preserve">טענה </w:t>
      </w:r>
      <w:r w:rsidR="00465A05" w:rsidRPr="001A0B66">
        <w:rPr>
          <w:rFonts w:ascii="FrankRuehl" w:hAnsi="FrankRuehl" w:cs="FrankRuehl"/>
          <w:sz w:val="28"/>
          <w:szCs w:val="28"/>
          <w:rtl/>
        </w:rPr>
        <w:t>בדבר מסוכנותו</w:t>
      </w:r>
      <w:r w:rsidR="00E90297" w:rsidRPr="001A0B66">
        <w:rPr>
          <w:rFonts w:ascii="FrankRuehl" w:hAnsi="FrankRuehl" w:cs="FrankRuehl"/>
          <w:sz w:val="28"/>
          <w:szCs w:val="28"/>
          <w:rtl/>
        </w:rPr>
        <w:t>;</w:t>
      </w:r>
      <w:r w:rsidR="00E148AF" w:rsidRPr="001A0B66">
        <w:rPr>
          <w:rFonts w:ascii="FrankRuehl" w:hAnsi="FrankRuehl" w:cs="FrankRuehl"/>
          <w:sz w:val="28"/>
          <w:szCs w:val="28"/>
          <w:rtl/>
        </w:rPr>
        <w:t xml:space="preserve"> ו</w:t>
      </w:r>
      <w:r w:rsidR="00465A05" w:rsidRPr="001A0B66">
        <w:rPr>
          <w:rFonts w:ascii="FrankRuehl" w:hAnsi="FrankRuehl" w:cs="FrankRuehl"/>
          <w:sz w:val="28"/>
          <w:szCs w:val="28"/>
          <w:rtl/>
        </w:rPr>
        <w:t xml:space="preserve">הערכת </w:t>
      </w:r>
      <w:r w:rsidR="00275C72" w:rsidRPr="001A0B66">
        <w:rPr>
          <w:rFonts w:ascii="FrankRuehl" w:hAnsi="FrankRuehl" w:cs="FrankRuehl"/>
          <w:sz w:val="28"/>
          <w:szCs w:val="28"/>
          <w:rtl/>
        </w:rPr>
        <w:t>מסוכנות</w:t>
      </w:r>
      <w:r w:rsidR="008822C3" w:rsidRPr="001A0B66">
        <w:rPr>
          <w:rFonts w:ascii="FrankRuehl" w:hAnsi="FrankRuehl" w:cs="FrankRuehl"/>
          <w:sz w:val="28"/>
          <w:szCs w:val="28"/>
          <w:rtl/>
        </w:rPr>
        <w:t xml:space="preserve"> זו נשענת על </w:t>
      </w:r>
      <w:r w:rsidR="00465A05" w:rsidRPr="001A0B66">
        <w:rPr>
          <w:rFonts w:ascii="FrankRuehl" w:hAnsi="FrankRuehl" w:cs="FrankRuehl"/>
          <w:sz w:val="28"/>
          <w:szCs w:val="28"/>
          <w:rtl/>
        </w:rPr>
        <w:t xml:space="preserve">ראיות שהאדם שחירותו נשללה אינו מכיר, אינו יכול להזים, אינו יכול להסביר </w:t>
      </w:r>
      <w:r w:rsidR="00E12289" w:rsidRPr="001A0B66">
        <w:rPr>
          <w:rFonts w:ascii="FrankRuehl" w:hAnsi="FrankRuehl" w:cs="FrankRuehl"/>
          <w:sz w:val="28"/>
          <w:szCs w:val="28"/>
          <w:rtl/>
        </w:rPr>
        <w:t>ו</w:t>
      </w:r>
      <w:r w:rsidR="00465A05" w:rsidRPr="001A0B66">
        <w:rPr>
          <w:rFonts w:ascii="FrankRuehl" w:hAnsi="FrankRuehl" w:cs="FrankRuehl"/>
          <w:sz w:val="28"/>
          <w:szCs w:val="28"/>
          <w:rtl/>
        </w:rPr>
        <w:t xml:space="preserve">אינו יכול </w:t>
      </w:r>
      <w:r w:rsidR="002F2C5D">
        <w:rPr>
          <w:rFonts w:ascii="FrankRuehl" w:hAnsi="FrankRuehl" w:cs="FrankRuehl"/>
          <w:sz w:val="28"/>
          <w:szCs w:val="28"/>
          <w:rtl/>
        </w:rPr>
        <w:t xml:space="preserve">להציע פרשנות אחרת מזו שבה אוחזות </w:t>
      </w:r>
      <w:r w:rsidR="00465A05" w:rsidRPr="001A0B66">
        <w:rPr>
          <w:rFonts w:ascii="FrankRuehl" w:hAnsi="FrankRuehl" w:cs="FrankRuehl"/>
          <w:sz w:val="28"/>
          <w:szCs w:val="28"/>
          <w:rtl/>
        </w:rPr>
        <w:t>רשויות הביטחון.</w:t>
      </w:r>
      <w:bookmarkStart w:id="9" w:name="_Ref52994701"/>
      <w:r w:rsidRPr="001A0B66">
        <w:rPr>
          <w:rStyle w:val="FootnoteReference"/>
          <w:rFonts w:ascii="FrankRuehl" w:hAnsi="FrankRuehl" w:cs="FrankRuehl"/>
          <w:sz w:val="28"/>
          <w:szCs w:val="28"/>
          <w:rtl/>
        </w:rPr>
        <w:footnoteReference w:id="6"/>
      </w:r>
      <w:bookmarkEnd w:id="9"/>
      <w:r w:rsidRPr="001A0B66">
        <w:rPr>
          <w:rFonts w:ascii="FrankRuehl" w:hAnsi="FrankRuehl" w:cs="FrankRuehl"/>
          <w:sz w:val="28"/>
          <w:szCs w:val="28"/>
          <w:rtl/>
        </w:rPr>
        <w:t xml:space="preserve"> </w:t>
      </w:r>
    </w:p>
    <w:p w14:paraId="61764637" w14:textId="77777777" w:rsidR="006C4BD4" w:rsidRPr="001A0B66" w:rsidRDefault="004D1A0F" w:rsidP="00F307FB">
      <w:pPr>
        <w:pStyle w:val="a0"/>
        <w:spacing w:line="276" w:lineRule="auto"/>
        <w:rPr>
          <w:rFonts w:ascii="FrankRuehl" w:hAnsi="FrankRuehl" w:cs="FrankRuehl"/>
          <w:sz w:val="28"/>
          <w:szCs w:val="28"/>
          <w:rtl/>
        </w:rPr>
      </w:pPr>
      <w:r w:rsidRPr="001A0B66">
        <w:rPr>
          <w:rFonts w:ascii="FrankRuehl" w:hAnsi="FrankRuehl" w:cs="FrankRuehl"/>
          <w:b/>
          <w:bCs/>
          <w:sz w:val="28"/>
          <w:szCs w:val="28"/>
          <w:rtl/>
        </w:rPr>
        <w:t xml:space="preserve">הצעת חוק עורכי דין מיוחדים, </w:t>
      </w:r>
      <w:proofErr w:type="spellStart"/>
      <w:r w:rsidRPr="001A0B66">
        <w:rPr>
          <w:rFonts w:ascii="FrankRuehl" w:hAnsi="FrankRuehl" w:cs="FrankRuehl"/>
          <w:b/>
          <w:bCs/>
          <w:sz w:val="28"/>
          <w:szCs w:val="28"/>
          <w:rtl/>
        </w:rPr>
        <w:t>התשע"ז</w:t>
      </w:r>
      <w:proofErr w:type="spellEnd"/>
      <w:r w:rsidR="00030F45" w:rsidRPr="001A0B66">
        <w:rPr>
          <w:rFonts w:ascii="FrankRuehl" w:hAnsi="FrankRuehl" w:cs="FrankRuehl"/>
          <w:b/>
          <w:bCs/>
          <w:sz w:val="28"/>
          <w:szCs w:val="28"/>
          <w:rtl/>
        </w:rPr>
        <w:t>–</w:t>
      </w:r>
      <w:r w:rsidRPr="001A0B66">
        <w:rPr>
          <w:rFonts w:ascii="FrankRuehl" w:hAnsi="FrankRuehl" w:cs="FrankRuehl"/>
          <w:b/>
          <w:bCs/>
          <w:sz w:val="28"/>
          <w:szCs w:val="28"/>
          <w:rtl/>
        </w:rPr>
        <w:t>2017</w:t>
      </w:r>
      <w:r w:rsidRPr="001A0B66">
        <w:rPr>
          <w:rFonts w:ascii="FrankRuehl" w:hAnsi="FrankRuehl" w:cs="FrankRuehl"/>
          <w:sz w:val="28"/>
          <w:szCs w:val="28"/>
          <w:rtl/>
        </w:rPr>
        <w:t xml:space="preserve"> </w:t>
      </w:r>
      <w:r w:rsidR="00E90297" w:rsidRPr="001A0B66">
        <w:rPr>
          <w:rFonts w:ascii="FrankRuehl" w:hAnsi="FrankRuehl" w:cs="FrankRuehl"/>
          <w:sz w:val="28"/>
          <w:szCs w:val="28"/>
          <w:rtl/>
        </w:rPr>
        <w:t xml:space="preserve">[להלן, בעיקר: </w:t>
      </w:r>
      <w:r w:rsidR="00327450" w:rsidRPr="001A0B66">
        <w:rPr>
          <w:rFonts w:ascii="FrankRuehl" w:hAnsi="FrankRuehl" w:cs="FrankRuehl"/>
          <w:sz w:val="28"/>
          <w:szCs w:val="28"/>
          <w:rtl/>
        </w:rPr>
        <w:t>"</w:t>
      </w:r>
      <w:r w:rsidR="00E90297" w:rsidRPr="001A0B66">
        <w:rPr>
          <w:rFonts w:ascii="FrankRuehl" w:hAnsi="FrankRuehl" w:cs="FrankRuehl"/>
          <w:sz w:val="28"/>
          <w:szCs w:val="28"/>
          <w:rtl/>
        </w:rPr>
        <w:t>הצעת החוק</w:t>
      </w:r>
      <w:r w:rsidR="00327450" w:rsidRPr="001A0B66">
        <w:rPr>
          <w:rFonts w:ascii="FrankRuehl" w:hAnsi="FrankRuehl" w:cs="FrankRuehl"/>
          <w:sz w:val="28"/>
          <w:szCs w:val="28"/>
          <w:rtl/>
        </w:rPr>
        <w:t>"</w:t>
      </w:r>
      <w:r w:rsidR="00E90297" w:rsidRPr="001A0B66">
        <w:rPr>
          <w:rFonts w:ascii="FrankRuehl" w:hAnsi="FrankRuehl" w:cs="FrankRuehl"/>
          <w:sz w:val="28"/>
          <w:szCs w:val="28"/>
          <w:rtl/>
        </w:rPr>
        <w:t xml:space="preserve">] </w:t>
      </w:r>
      <w:r w:rsidRPr="001A0B66">
        <w:rPr>
          <w:rFonts w:ascii="FrankRuehl" w:hAnsi="FrankRuehl" w:cs="FrankRuehl"/>
          <w:sz w:val="28"/>
          <w:szCs w:val="28"/>
          <w:rtl/>
        </w:rPr>
        <w:t xml:space="preserve">מבקשת להתמודד </w:t>
      </w:r>
      <w:r w:rsidR="00F86DB3" w:rsidRPr="001A0B66">
        <w:rPr>
          <w:rFonts w:ascii="FrankRuehl" w:hAnsi="FrankRuehl" w:cs="FrankRuehl"/>
          <w:sz w:val="28"/>
          <w:szCs w:val="28"/>
          <w:rtl/>
        </w:rPr>
        <w:t xml:space="preserve">באופן </w:t>
      </w:r>
      <w:r w:rsidRPr="001A0B66">
        <w:rPr>
          <w:rFonts w:ascii="FrankRuehl" w:hAnsi="FrankRuehl" w:cs="FrankRuehl"/>
          <w:sz w:val="28"/>
          <w:szCs w:val="28"/>
          <w:rtl/>
        </w:rPr>
        <w:t xml:space="preserve">חלקי עם </w:t>
      </w:r>
      <w:r w:rsidR="00AE6419" w:rsidRPr="001A0B66">
        <w:rPr>
          <w:rFonts w:ascii="FrankRuehl" w:hAnsi="FrankRuehl" w:cs="FrankRuehl"/>
          <w:sz w:val="28"/>
          <w:szCs w:val="28"/>
          <w:rtl/>
        </w:rPr>
        <w:t>בעיית הראיות החסויות בהליכים מכוח סמכויות חירום</w:t>
      </w:r>
      <w:r w:rsidR="009E06CD" w:rsidRPr="001A0B66">
        <w:rPr>
          <w:rFonts w:ascii="FrankRuehl" w:hAnsi="FrankRuehl" w:cs="FrankRuehl"/>
          <w:sz w:val="28"/>
          <w:szCs w:val="28"/>
          <w:rtl/>
        </w:rPr>
        <w:t>,</w:t>
      </w:r>
      <w:r w:rsidRPr="001A0B66">
        <w:rPr>
          <w:rFonts w:ascii="FrankRuehl" w:hAnsi="FrankRuehl" w:cs="FrankRuehl"/>
          <w:sz w:val="28"/>
          <w:szCs w:val="28"/>
          <w:rtl/>
        </w:rPr>
        <w:t xml:space="preserve"> באמצעות </w:t>
      </w:r>
      <w:r w:rsidR="00F86DB3" w:rsidRPr="001A0B66">
        <w:rPr>
          <w:rFonts w:ascii="FrankRuehl" w:hAnsi="FrankRuehl" w:cs="FrankRuehl"/>
          <w:sz w:val="28"/>
          <w:szCs w:val="28"/>
          <w:rtl/>
        </w:rPr>
        <w:t>"</w:t>
      </w:r>
      <w:r w:rsidRPr="001A0B66">
        <w:rPr>
          <w:rFonts w:ascii="FrankRuehl" w:hAnsi="FrankRuehl" w:cs="FrankRuehl"/>
          <w:sz w:val="28"/>
          <w:szCs w:val="28"/>
          <w:rtl/>
        </w:rPr>
        <w:t>העמדת עורך דין מיוחד שייצג את מי שכנגדו ננקטים ההליכים, שיפעל על מנת להגן בפני בית המשפט על עניינו של האדם שכנגדו ננקטים ההליכים". עורך הדין המיוחד</w:t>
      </w:r>
      <w:r w:rsidR="005B5678" w:rsidRPr="001A0B66">
        <w:rPr>
          <w:rFonts w:ascii="FrankRuehl" w:hAnsi="FrankRuehl" w:cs="FrankRuehl"/>
          <w:sz w:val="28"/>
          <w:szCs w:val="28"/>
          <w:rtl/>
        </w:rPr>
        <w:t xml:space="preserve"> </w:t>
      </w:r>
      <w:r w:rsidRPr="001A0B66">
        <w:rPr>
          <w:rFonts w:ascii="FrankRuehl" w:hAnsi="FrankRuehl" w:cs="FrankRuehl"/>
          <w:sz w:val="28"/>
          <w:szCs w:val="28"/>
          <w:rtl/>
        </w:rPr>
        <w:t>"יקבל לידיו את המידע החסוי" ו"יבחן את הקשר בין המידע החסוי לבין הסעד המבוקש בהליך החסוי וכן את נחיצותו של הסעד המבוקש לאור המידע החסוי, ויפעל על מנת להגן על עניינו של האדם שכנגדו ננקט ההליך החסוי בפני בית המשפט".</w:t>
      </w:r>
      <w:r w:rsidR="00F70E79" w:rsidRPr="001A0B66">
        <w:rPr>
          <w:rStyle w:val="FootnoteReference"/>
          <w:rFonts w:ascii="FrankRuehl" w:hAnsi="FrankRuehl" w:cs="FrankRuehl"/>
          <w:sz w:val="28"/>
          <w:szCs w:val="28"/>
          <w:rtl/>
        </w:rPr>
        <w:footnoteReference w:id="7"/>
      </w:r>
      <w:r w:rsidRPr="001A0B66">
        <w:rPr>
          <w:rFonts w:ascii="FrankRuehl" w:hAnsi="FrankRuehl" w:cs="FrankRuehl"/>
          <w:sz w:val="28"/>
          <w:szCs w:val="28"/>
          <w:rtl/>
        </w:rPr>
        <w:t xml:space="preserve"> </w:t>
      </w:r>
    </w:p>
    <w:p w14:paraId="11708C91" w14:textId="77777777" w:rsidR="004D1A0F" w:rsidRPr="001A0B66" w:rsidRDefault="004D1A0F"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הצעת החוק הונחה</w:t>
      </w:r>
      <w:r w:rsidR="00F86DB3" w:rsidRPr="001A0B66">
        <w:rPr>
          <w:rFonts w:ascii="FrankRuehl" w:hAnsi="FrankRuehl" w:cs="FrankRuehl"/>
          <w:sz w:val="28"/>
          <w:szCs w:val="28"/>
          <w:rtl/>
        </w:rPr>
        <w:t xml:space="preserve"> על שולחן הכנסת בחודש מרץ 2017,</w:t>
      </w:r>
      <w:r w:rsidRPr="001A0B66">
        <w:rPr>
          <w:rFonts w:ascii="FrankRuehl" w:hAnsi="FrankRuehl" w:cs="FrankRuehl"/>
          <w:sz w:val="28"/>
          <w:szCs w:val="28"/>
          <w:rtl/>
        </w:rPr>
        <w:t xml:space="preserve"> סמוך להגשתה לדיון </w:t>
      </w:r>
      <w:r w:rsidR="00F86DB3" w:rsidRPr="001A0B66">
        <w:rPr>
          <w:rFonts w:ascii="FrankRuehl" w:hAnsi="FrankRuehl" w:cs="FrankRuehl"/>
          <w:sz w:val="28"/>
          <w:szCs w:val="28"/>
          <w:rtl/>
        </w:rPr>
        <w:t>מוקדם במליאה</w:t>
      </w:r>
      <w:r w:rsidRPr="001A0B66">
        <w:rPr>
          <w:rFonts w:ascii="FrankRuehl" w:hAnsi="FrankRuehl" w:cs="FrankRuehl"/>
          <w:sz w:val="28"/>
          <w:szCs w:val="28"/>
          <w:rtl/>
        </w:rPr>
        <w:t>, אך לא קודמה מאז. יוז</w:t>
      </w:r>
      <w:r w:rsidR="00F86DB3" w:rsidRPr="001A0B66">
        <w:rPr>
          <w:rFonts w:ascii="FrankRuehl" w:hAnsi="FrankRuehl" w:cs="FrankRuehl"/>
          <w:sz w:val="28"/>
          <w:szCs w:val="28"/>
          <w:rtl/>
        </w:rPr>
        <w:t>מ</w:t>
      </w:r>
      <w:r w:rsidRPr="001A0B66">
        <w:rPr>
          <w:rFonts w:ascii="FrankRuehl" w:hAnsi="FrankRuehl" w:cs="FrankRuehl"/>
          <w:sz w:val="28"/>
          <w:szCs w:val="28"/>
          <w:rtl/>
        </w:rPr>
        <w:t xml:space="preserve">ה היה חבר הכנסת בצלאל </w:t>
      </w:r>
      <w:proofErr w:type="spellStart"/>
      <w:r w:rsidRPr="001A0B66">
        <w:rPr>
          <w:rFonts w:ascii="FrankRuehl" w:hAnsi="FrankRuehl" w:cs="FrankRuehl"/>
          <w:sz w:val="28"/>
          <w:szCs w:val="28"/>
          <w:rtl/>
        </w:rPr>
        <w:t>סמוטריץ</w:t>
      </w:r>
      <w:proofErr w:type="spellEnd"/>
      <w:r w:rsidRPr="001A0B66">
        <w:rPr>
          <w:rFonts w:ascii="FrankRuehl" w:hAnsi="FrankRuehl" w:cs="FrankRuehl"/>
          <w:sz w:val="28"/>
          <w:szCs w:val="28"/>
          <w:rtl/>
        </w:rPr>
        <w:t xml:space="preserve">' (אז </w:t>
      </w:r>
      <w:r w:rsidR="00F86DB3" w:rsidRPr="001A0B66">
        <w:rPr>
          <w:rFonts w:ascii="FrankRuehl" w:hAnsi="FrankRuehl" w:cs="FrankRuehl"/>
          <w:sz w:val="28"/>
          <w:szCs w:val="28"/>
          <w:rtl/>
        </w:rPr>
        <w:t>ממפלגת "ה</w:t>
      </w:r>
      <w:r w:rsidRPr="001A0B66">
        <w:rPr>
          <w:rFonts w:ascii="FrankRuehl" w:hAnsi="FrankRuehl" w:cs="FrankRuehl"/>
          <w:sz w:val="28"/>
          <w:szCs w:val="28"/>
          <w:rtl/>
        </w:rPr>
        <w:t>בית היהודי</w:t>
      </w:r>
      <w:r w:rsidR="00F86DB3" w:rsidRPr="001A0B66">
        <w:rPr>
          <w:rFonts w:ascii="FrankRuehl" w:hAnsi="FrankRuehl" w:cs="FrankRuehl"/>
          <w:sz w:val="28"/>
          <w:szCs w:val="28"/>
          <w:rtl/>
        </w:rPr>
        <w:t>"</w:t>
      </w:r>
      <w:r w:rsidRPr="001A0B66">
        <w:rPr>
          <w:rFonts w:ascii="FrankRuehl" w:hAnsi="FrankRuehl" w:cs="FrankRuehl"/>
          <w:sz w:val="28"/>
          <w:szCs w:val="28"/>
          <w:rtl/>
        </w:rPr>
        <w:t xml:space="preserve">), ואליו הצטרפו חברי הכנסת אבי </w:t>
      </w:r>
      <w:proofErr w:type="spellStart"/>
      <w:r w:rsidRPr="001A0B66">
        <w:rPr>
          <w:rFonts w:ascii="FrankRuehl" w:hAnsi="FrankRuehl" w:cs="FrankRuehl"/>
          <w:sz w:val="28"/>
          <w:szCs w:val="28"/>
          <w:rtl/>
        </w:rPr>
        <w:t>דיכטר</w:t>
      </w:r>
      <w:proofErr w:type="spellEnd"/>
      <w:r w:rsidRPr="001A0B66">
        <w:rPr>
          <w:rFonts w:ascii="FrankRuehl" w:hAnsi="FrankRuehl" w:cs="FrankRuehl"/>
          <w:sz w:val="28"/>
          <w:szCs w:val="28"/>
          <w:rtl/>
        </w:rPr>
        <w:t xml:space="preserve"> (</w:t>
      </w:r>
      <w:r w:rsidR="00F86DB3" w:rsidRPr="001A0B66">
        <w:rPr>
          <w:rFonts w:ascii="FrankRuehl" w:hAnsi="FrankRuehl" w:cs="FrankRuehl"/>
          <w:sz w:val="28"/>
          <w:szCs w:val="28"/>
          <w:rtl/>
        </w:rPr>
        <w:t>"</w:t>
      </w:r>
      <w:r w:rsidRPr="001A0B66">
        <w:rPr>
          <w:rFonts w:ascii="FrankRuehl" w:hAnsi="FrankRuehl" w:cs="FrankRuehl"/>
          <w:sz w:val="28"/>
          <w:szCs w:val="28"/>
          <w:rtl/>
        </w:rPr>
        <w:t>הליכוד</w:t>
      </w:r>
      <w:r w:rsidR="00F86DB3" w:rsidRPr="001A0B66">
        <w:rPr>
          <w:rFonts w:ascii="FrankRuehl" w:hAnsi="FrankRuehl" w:cs="FrankRuehl"/>
          <w:sz w:val="28"/>
          <w:szCs w:val="28"/>
          <w:rtl/>
        </w:rPr>
        <w:t>"</w:t>
      </w:r>
      <w:r w:rsidRPr="001A0B66">
        <w:rPr>
          <w:rFonts w:ascii="FrankRuehl" w:hAnsi="FrankRuehl" w:cs="FrankRuehl"/>
          <w:sz w:val="28"/>
          <w:szCs w:val="28"/>
          <w:rtl/>
        </w:rPr>
        <w:t xml:space="preserve">) </w:t>
      </w:r>
      <w:r w:rsidR="00F86DB3" w:rsidRPr="001A0B66">
        <w:rPr>
          <w:rFonts w:ascii="FrankRuehl" w:hAnsi="FrankRuehl" w:cs="FrankRuehl"/>
          <w:sz w:val="28"/>
          <w:szCs w:val="28"/>
          <w:rtl/>
        </w:rPr>
        <w:t>ו</w:t>
      </w:r>
      <w:r w:rsidRPr="001A0B66">
        <w:rPr>
          <w:rFonts w:ascii="FrankRuehl" w:hAnsi="FrankRuehl" w:cs="FrankRuehl"/>
          <w:sz w:val="28"/>
          <w:szCs w:val="28"/>
          <w:rtl/>
        </w:rPr>
        <w:t>יעקב פרי (</w:t>
      </w:r>
      <w:r w:rsidR="00F86DB3" w:rsidRPr="001A0B66">
        <w:rPr>
          <w:rFonts w:ascii="FrankRuehl" w:hAnsi="FrankRuehl" w:cs="FrankRuehl"/>
          <w:sz w:val="28"/>
          <w:szCs w:val="28"/>
          <w:rtl/>
        </w:rPr>
        <w:t>"</w:t>
      </w:r>
      <w:r w:rsidRPr="001A0B66">
        <w:rPr>
          <w:rFonts w:ascii="FrankRuehl" w:hAnsi="FrankRuehl" w:cs="FrankRuehl"/>
          <w:sz w:val="28"/>
          <w:szCs w:val="28"/>
          <w:rtl/>
        </w:rPr>
        <w:t>יש עתיד</w:t>
      </w:r>
      <w:r w:rsidR="00F86DB3" w:rsidRPr="001A0B66">
        <w:rPr>
          <w:rFonts w:ascii="FrankRuehl" w:hAnsi="FrankRuehl" w:cs="FrankRuehl"/>
          <w:sz w:val="28"/>
          <w:szCs w:val="28"/>
          <w:rtl/>
        </w:rPr>
        <w:t>"</w:t>
      </w:r>
      <w:r w:rsidRPr="001A0B66">
        <w:rPr>
          <w:rFonts w:ascii="FrankRuehl" w:hAnsi="FrankRuehl" w:cs="FrankRuehl"/>
          <w:sz w:val="28"/>
          <w:szCs w:val="28"/>
          <w:rtl/>
        </w:rPr>
        <w:t>)</w:t>
      </w:r>
      <w:r w:rsidR="00F86DB3" w:rsidRPr="001A0B66">
        <w:rPr>
          <w:rFonts w:ascii="FrankRuehl" w:hAnsi="FrankRuehl" w:cs="FrankRuehl"/>
          <w:sz w:val="28"/>
          <w:szCs w:val="28"/>
          <w:rtl/>
        </w:rPr>
        <w:t>, שכיהנו בעבר כראשי שירות הביטחון הכללי</w:t>
      </w:r>
      <w:r w:rsidR="002F32C4" w:rsidRPr="001A0B66">
        <w:rPr>
          <w:rFonts w:ascii="FrankRuehl" w:hAnsi="FrankRuehl" w:cs="FrankRuehl"/>
          <w:sz w:val="28"/>
          <w:szCs w:val="28"/>
          <w:rtl/>
        </w:rPr>
        <w:t xml:space="preserve"> (להלן: השב"כ)</w:t>
      </w:r>
      <w:r w:rsidR="00F86DB3" w:rsidRPr="001A0B66">
        <w:rPr>
          <w:rFonts w:ascii="FrankRuehl" w:hAnsi="FrankRuehl" w:cs="FrankRuehl"/>
          <w:sz w:val="28"/>
          <w:szCs w:val="28"/>
          <w:rtl/>
        </w:rPr>
        <w:t>, וחברת הכנסת</w:t>
      </w:r>
      <w:r w:rsidRPr="001A0B66">
        <w:rPr>
          <w:rFonts w:ascii="FrankRuehl" w:hAnsi="FrankRuehl" w:cs="FrankRuehl"/>
          <w:sz w:val="28"/>
          <w:szCs w:val="28"/>
          <w:rtl/>
        </w:rPr>
        <w:t xml:space="preserve"> מיכל </w:t>
      </w:r>
      <w:proofErr w:type="spellStart"/>
      <w:r w:rsidRPr="001A0B66">
        <w:rPr>
          <w:rFonts w:ascii="FrankRuehl" w:hAnsi="FrankRuehl" w:cs="FrankRuehl"/>
          <w:sz w:val="28"/>
          <w:szCs w:val="28"/>
          <w:rtl/>
        </w:rPr>
        <w:t>רוזין</w:t>
      </w:r>
      <w:proofErr w:type="spellEnd"/>
      <w:r w:rsidRPr="001A0B66">
        <w:rPr>
          <w:rFonts w:ascii="FrankRuehl" w:hAnsi="FrankRuehl" w:cs="FrankRuehl"/>
          <w:sz w:val="28"/>
          <w:szCs w:val="28"/>
          <w:rtl/>
        </w:rPr>
        <w:t xml:space="preserve"> (</w:t>
      </w:r>
      <w:r w:rsidR="00F86DB3" w:rsidRPr="001A0B66">
        <w:rPr>
          <w:rFonts w:ascii="FrankRuehl" w:hAnsi="FrankRuehl" w:cs="FrankRuehl"/>
          <w:sz w:val="28"/>
          <w:szCs w:val="28"/>
          <w:rtl/>
        </w:rPr>
        <w:t>"</w:t>
      </w:r>
      <w:r w:rsidRPr="001A0B66">
        <w:rPr>
          <w:rFonts w:ascii="FrankRuehl" w:hAnsi="FrankRuehl" w:cs="FrankRuehl"/>
          <w:sz w:val="28"/>
          <w:szCs w:val="28"/>
          <w:rtl/>
        </w:rPr>
        <w:t>מרצ</w:t>
      </w:r>
      <w:r w:rsidR="00F86DB3" w:rsidRPr="001A0B66">
        <w:rPr>
          <w:rFonts w:ascii="FrankRuehl" w:hAnsi="FrankRuehl" w:cs="FrankRuehl"/>
          <w:sz w:val="28"/>
          <w:szCs w:val="28"/>
          <w:rtl/>
        </w:rPr>
        <w:t>"</w:t>
      </w:r>
      <w:r w:rsidRPr="001A0B66">
        <w:rPr>
          <w:rFonts w:ascii="FrankRuehl" w:hAnsi="FrankRuehl" w:cs="FrankRuehl"/>
          <w:sz w:val="28"/>
          <w:szCs w:val="28"/>
          <w:rtl/>
        </w:rPr>
        <w:t xml:space="preserve">). </w:t>
      </w:r>
    </w:p>
    <w:p w14:paraId="25CD4F53" w14:textId="77777777" w:rsidR="006C4BD4" w:rsidRPr="001A0B66" w:rsidRDefault="001202C3"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מאמר זה </w:t>
      </w:r>
      <w:r w:rsidR="004B0AD7" w:rsidRPr="001A0B66">
        <w:rPr>
          <w:rFonts w:ascii="FrankRuehl" w:hAnsi="FrankRuehl" w:cs="FrankRuehl"/>
          <w:sz w:val="28"/>
          <w:szCs w:val="28"/>
          <w:rtl/>
        </w:rPr>
        <w:t xml:space="preserve">הוא תגובתנו </w:t>
      </w:r>
      <w:r w:rsidR="001E0A01" w:rsidRPr="001A0B66">
        <w:rPr>
          <w:rFonts w:ascii="FrankRuehl" w:hAnsi="FrankRuehl" w:cs="FrankRuehl"/>
          <w:sz w:val="28"/>
          <w:szCs w:val="28"/>
          <w:rtl/>
        </w:rPr>
        <w:t xml:space="preserve">להצעת החוק. </w:t>
      </w:r>
      <w:r w:rsidR="004B0AD7" w:rsidRPr="001A0B66">
        <w:rPr>
          <w:rFonts w:ascii="FrankRuehl" w:hAnsi="FrankRuehl" w:cs="FrankRuehl"/>
          <w:sz w:val="28"/>
          <w:szCs w:val="28"/>
          <w:rtl/>
        </w:rPr>
        <w:t>בחרנו לאמץ</w:t>
      </w:r>
      <w:r w:rsidR="001E0A01" w:rsidRPr="001A0B66">
        <w:rPr>
          <w:rFonts w:ascii="FrankRuehl" w:hAnsi="FrankRuehl" w:cs="FrankRuehl"/>
          <w:sz w:val="28"/>
          <w:szCs w:val="28"/>
          <w:rtl/>
        </w:rPr>
        <w:t xml:space="preserve"> את קריאת הכיוון שלה</w:t>
      </w:r>
      <w:r w:rsidR="00F86DB3" w:rsidRPr="001A0B66">
        <w:rPr>
          <w:rFonts w:ascii="FrankRuehl" w:hAnsi="FrankRuehl" w:cs="FrankRuehl"/>
          <w:sz w:val="28"/>
          <w:szCs w:val="28"/>
          <w:rtl/>
        </w:rPr>
        <w:t xml:space="preserve"> –</w:t>
      </w:r>
      <w:r w:rsidR="001E0A01" w:rsidRPr="001A0B66">
        <w:rPr>
          <w:rFonts w:ascii="FrankRuehl" w:hAnsi="FrankRuehl" w:cs="FrankRuehl"/>
          <w:sz w:val="28"/>
          <w:szCs w:val="28"/>
          <w:rtl/>
        </w:rPr>
        <w:t xml:space="preserve"> </w:t>
      </w:r>
      <w:r w:rsidR="006C4BD4" w:rsidRPr="001A0B66">
        <w:rPr>
          <w:rFonts w:ascii="FrankRuehl" w:hAnsi="FrankRuehl" w:cs="FrankRuehl"/>
          <w:sz w:val="28"/>
          <w:szCs w:val="28"/>
          <w:rtl/>
        </w:rPr>
        <w:t>קבלת</w:t>
      </w:r>
      <w:r w:rsidR="004D1A0F" w:rsidRPr="001A0B66">
        <w:rPr>
          <w:rFonts w:ascii="FrankRuehl" w:hAnsi="FrankRuehl" w:cs="FrankRuehl"/>
          <w:sz w:val="28"/>
          <w:szCs w:val="28"/>
          <w:rtl/>
        </w:rPr>
        <w:t xml:space="preserve"> מודל "הפרקליט המיוחד"</w:t>
      </w:r>
      <w:r w:rsidR="001E0A01" w:rsidRPr="001A0B66">
        <w:rPr>
          <w:rFonts w:ascii="FrankRuehl" w:hAnsi="FrankRuehl" w:cs="FrankRuehl"/>
          <w:sz w:val="28"/>
          <w:szCs w:val="28"/>
          <w:rtl/>
        </w:rPr>
        <w:t>;</w:t>
      </w:r>
      <w:r w:rsidR="004D1A0F" w:rsidRPr="001A0B66">
        <w:rPr>
          <w:rFonts w:ascii="FrankRuehl" w:hAnsi="FrankRuehl" w:cs="FrankRuehl"/>
          <w:sz w:val="28"/>
          <w:szCs w:val="28"/>
          <w:rtl/>
        </w:rPr>
        <w:t xml:space="preserve"> אולם </w:t>
      </w:r>
      <w:r w:rsidR="004B0AD7" w:rsidRPr="001A0B66">
        <w:rPr>
          <w:rFonts w:ascii="FrankRuehl" w:hAnsi="FrankRuehl" w:cs="FrankRuehl"/>
          <w:sz w:val="28"/>
          <w:szCs w:val="28"/>
          <w:rtl/>
        </w:rPr>
        <w:t>נביע</w:t>
      </w:r>
      <w:r w:rsidR="001E0A01" w:rsidRPr="001A0B66">
        <w:rPr>
          <w:rFonts w:ascii="FrankRuehl" w:hAnsi="FrankRuehl" w:cs="FrankRuehl"/>
          <w:sz w:val="28"/>
          <w:szCs w:val="28"/>
          <w:rtl/>
        </w:rPr>
        <w:t xml:space="preserve"> הסתייגויות </w:t>
      </w:r>
      <w:r w:rsidR="00327450" w:rsidRPr="001A0B66">
        <w:rPr>
          <w:rFonts w:ascii="FrankRuehl" w:hAnsi="FrankRuehl" w:cs="FrankRuehl"/>
          <w:sz w:val="28"/>
          <w:szCs w:val="28"/>
          <w:rtl/>
        </w:rPr>
        <w:t xml:space="preserve">ביחס לחלק מפרטיה </w:t>
      </w:r>
      <w:r w:rsidR="001E0A01" w:rsidRPr="001A0B66">
        <w:rPr>
          <w:rFonts w:ascii="FrankRuehl" w:hAnsi="FrankRuehl" w:cs="FrankRuehl"/>
          <w:sz w:val="28"/>
          <w:szCs w:val="28"/>
          <w:rtl/>
        </w:rPr>
        <w:t>ו</w:t>
      </w:r>
      <w:r w:rsidR="004B0AD7" w:rsidRPr="001A0B66">
        <w:rPr>
          <w:rFonts w:ascii="FrankRuehl" w:hAnsi="FrankRuehl" w:cs="FrankRuehl"/>
          <w:sz w:val="28"/>
          <w:szCs w:val="28"/>
          <w:rtl/>
        </w:rPr>
        <w:t xml:space="preserve">נציע </w:t>
      </w:r>
      <w:r w:rsidR="001E0A01" w:rsidRPr="001A0B66">
        <w:rPr>
          <w:rFonts w:ascii="FrankRuehl" w:hAnsi="FrankRuehl" w:cs="FrankRuehl"/>
          <w:sz w:val="28"/>
          <w:szCs w:val="28"/>
          <w:rtl/>
        </w:rPr>
        <w:t>הצעות תיקון</w:t>
      </w:r>
      <w:r w:rsidR="005F6BD4" w:rsidRPr="001A0B66">
        <w:rPr>
          <w:rFonts w:ascii="FrankRuehl" w:hAnsi="FrankRuehl" w:cs="FrankRuehl"/>
          <w:sz w:val="28"/>
          <w:szCs w:val="28"/>
          <w:rtl/>
        </w:rPr>
        <w:t xml:space="preserve"> והשלמה</w:t>
      </w:r>
      <w:r w:rsidR="004B0AD7" w:rsidRPr="001A0B66">
        <w:rPr>
          <w:rFonts w:ascii="FrankRuehl" w:hAnsi="FrankRuehl" w:cs="FrankRuehl"/>
          <w:sz w:val="28"/>
          <w:szCs w:val="28"/>
          <w:rtl/>
        </w:rPr>
        <w:t xml:space="preserve">, </w:t>
      </w:r>
      <w:r w:rsidR="002D4530" w:rsidRPr="001A0B66">
        <w:rPr>
          <w:rFonts w:ascii="FrankRuehl" w:hAnsi="FrankRuehl" w:cs="FrankRuehl"/>
          <w:sz w:val="28"/>
          <w:szCs w:val="28"/>
          <w:rtl/>
        </w:rPr>
        <w:t xml:space="preserve">זאת </w:t>
      </w:r>
      <w:r w:rsidR="004B0AD7" w:rsidRPr="001A0B66">
        <w:rPr>
          <w:rFonts w:ascii="FrankRuehl" w:hAnsi="FrankRuehl" w:cs="FrankRuehl"/>
          <w:sz w:val="28"/>
          <w:szCs w:val="28"/>
          <w:rtl/>
        </w:rPr>
        <w:t xml:space="preserve">בניסיון </w:t>
      </w:r>
      <w:r w:rsidR="001E0A01" w:rsidRPr="001A0B66">
        <w:rPr>
          <w:rFonts w:ascii="FrankRuehl" w:hAnsi="FrankRuehl" w:cs="FrankRuehl"/>
          <w:sz w:val="28"/>
          <w:szCs w:val="28"/>
          <w:rtl/>
        </w:rPr>
        <w:t xml:space="preserve">לגבש הסדר </w:t>
      </w:r>
      <w:r w:rsidR="006C4BD4" w:rsidRPr="001A0B66">
        <w:rPr>
          <w:rFonts w:ascii="FrankRuehl" w:hAnsi="FrankRuehl" w:cs="FrankRuehl"/>
          <w:sz w:val="28"/>
          <w:szCs w:val="28"/>
          <w:rtl/>
        </w:rPr>
        <w:t>מקיף יותר</w:t>
      </w:r>
      <w:r w:rsidR="001E0A01" w:rsidRPr="001A0B66">
        <w:rPr>
          <w:rFonts w:ascii="FrankRuehl" w:hAnsi="FrankRuehl" w:cs="FrankRuehl"/>
          <w:sz w:val="28"/>
          <w:szCs w:val="28"/>
          <w:rtl/>
        </w:rPr>
        <w:t xml:space="preserve"> וטוב יותר </w:t>
      </w:r>
      <w:r w:rsidR="004B0AD7" w:rsidRPr="001A0B66">
        <w:rPr>
          <w:rFonts w:ascii="FrankRuehl" w:hAnsi="FrankRuehl" w:cs="FrankRuehl"/>
          <w:sz w:val="28"/>
          <w:szCs w:val="28"/>
          <w:rtl/>
        </w:rPr>
        <w:t>ל</w:t>
      </w:r>
      <w:r w:rsidR="001E0A01" w:rsidRPr="001A0B66">
        <w:rPr>
          <w:rFonts w:ascii="FrankRuehl" w:hAnsi="FrankRuehl" w:cs="FrankRuehl"/>
          <w:sz w:val="28"/>
          <w:szCs w:val="28"/>
          <w:rtl/>
        </w:rPr>
        <w:t xml:space="preserve">צירוף עורכי דין מיוחדים להגנה בהליכי מעצר מנהלי ובהליכים מנהליים אחרים. </w:t>
      </w:r>
      <w:r w:rsidR="00E2606C">
        <w:rPr>
          <w:rFonts w:ascii="FrankRuehl" w:hAnsi="FrankRuehl" w:cs="FrankRuehl"/>
          <w:sz w:val="28"/>
          <w:szCs w:val="28"/>
          <w:rtl/>
        </w:rPr>
        <w:t>טענותינו</w:t>
      </w:r>
      <w:r w:rsidR="00FC59DD" w:rsidRPr="001A0B66">
        <w:rPr>
          <w:rFonts w:ascii="FrankRuehl" w:hAnsi="FrankRuehl" w:cs="FrankRuehl"/>
          <w:sz w:val="28"/>
          <w:szCs w:val="28"/>
          <w:rtl/>
        </w:rPr>
        <w:t xml:space="preserve"> ו</w:t>
      </w:r>
      <w:r w:rsidR="001B51B6" w:rsidRPr="001A0B66">
        <w:rPr>
          <w:rFonts w:ascii="FrankRuehl" w:hAnsi="FrankRuehl" w:cs="FrankRuehl"/>
          <w:sz w:val="28"/>
          <w:szCs w:val="28"/>
          <w:rtl/>
        </w:rPr>
        <w:t>הצעותינו מתבססות גם על נ</w:t>
      </w:r>
      <w:r w:rsidR="00BC4059" w:rsidRPr="001A0B66">
        <w:rPr>
          <w:rFonts w:ascii="FrankRuehl" w:hAnsi="FrankRuehl" w:cs="FrankRuehl"/>
          <w:sz w:val="28"/>
          <w:szCs w:val="28"/>
          <w:rtl/>
        </w:rPr>
        <w:t>י</w:t>
      </w:r>
      <w:r w:rsidR="001B51B6" w:rsidRPr="001A0B66">
        <w:rPr>
          <w:rFonts w:ascii="FrankRuehl" w:hAnsi="FrankRuehl" w:cs="FrankRuehl"/>
          <w:sz w:val="28"/>
          <w:szCs w:val="28"/>
          <w:rtl/>
        </w:rPr>
        <w:t>סיו</w:t>
      </w:r>
      <w:r w:rsidR="00BC4059" w:rsidRPr="001A0B66">
        <w:rPr>
          <w:rFonts w:ascii="FrankRuehl" w:hAnsi="FrankRuehl" w:cs="FrankRuehl"/>
          <w:sz w:val="28"/>
          <w:szCs w:val="28"/>
          <w:rtl/>
        </w:rPr>
        <w:t xml:space="preserve">ן </w:t>
      </w:r>
      <w:r w:rsidR="001B51B6" w:rsidRPr="001A0B66">
        <w:rPr>
          <w:rFonts w:ascii="FrankRuehl" w:hAnsi="FrankRuehl" w:cs="FrankRuehl"/>
          <w:sz w:val="28"/>
          <w:szCs w:val="28"/>
          <w:rtl/>
        </w:rPr>
        <w:t xml:space="preserve">ארוך שנים </w:t>
      </w:r>
      <w:r w:rsidR="00BC4059" w:rsidRPr="001A0B66">
        <w:rPr>
          <w:rFonts w:ascii="FrankRuehl" w:hAnsi="FrankRuehl" w:cs="FrankRuehl"/>
          <w:sz w:val="28"/>
          <w:szCs w:val="28"/>
          <w:rtl/>
        </w:rPr>
        <w:t xml:space="preserve">של אחת מאתנו </w:t>
      </w:r>
      <w:r w:rsidR="001B51B6" w:rsidRPr="001A0B66">
        <w:rPr>
          <w:rFonts w:ascii="FrankRuehl" w:hAnsi="FrankRuehl" w:cs="FrankRuehl"/>
          <w:sz w:val="28"/>
          <w:szCs w:val="28"/>
          <w:rtl/>
        </w:rPr>
        <w:t>ב</w:t>
      </w:r>
      <w:r w:rsidR="00FC59DD" w:rsidRPr="001A0B66">
        <w:rPr>
          <w:rFonts w:ascii="FrankRuehl" w:hAnsi="FrankRuehl" w:cs="FrankRuehl"/>
          <w:sz w:val="28"/>
          <w:szCs w:val="28"/>
          <w:rtl/>
        </w:rPr>
        <w:t>ייצוג של אזרחים ותושבים פלסטינים בישראל ובשטחים בפני רשויו</w:t>
      </w:r>
      <w:r w:rsidR="00D1767D" w:rsidRPr="001A0B66">
        <w:rPr>
          <w:rFonts w:ascii="FrankRuehl" w:hAnsi="FrankRuehl" w:cs="FrankRuehl"/>
          <w:sz w:val="28"/>
          <w:szCs w:val="28"/>
          <w:rtl/>
        </w:rPr>
        <w:t>ת</w:t>
      </w:r>
      <w:r w:rsidR="00FC59DD" w:rsidRPr="001A0B66">
        <w:rPr>
          <w:rFonts w:ascii="FrankRuehl" w:hAnsi="FrankRuehl" w:cs="FrankRuehl"/>
          <w:sz w:val="28"/>
          <w:szCs w:val="28"/>
          <w:rtl/>
        </w:rPr>
        <w:t xml:space="preserve"> וערכאות ישראליות. </w:t>
      </w:r>
      <w:r w:rsidR="008A4902" w:rsidRPr="001A0B66">
        <w:rPr>
          <w:rFonts w:ascii="FrankRuehl" w:hAnsi="FrankRuehl" w:cs="FrankRuehl"/>
          <w:sz w:val="28"/>
          <w:szCs w:val="28"/>
          <w:rtl/>
        </w:rPr>
        <w:t xml:space="preserve">לפני שנפנה </w:t>
      </w:r>
      <w:r w:rsidR="001E0A01" w:rsidRPr="001A0B66">
        <w:rPr>
          <w:rFonts w:ascii="FrankRuehl" w:hAnsi="FrankRuehl" w:cs="FrankRuehl"/>
          <w:sz w:val="28"/>
          <w:szCs w:val="28"/>
          <w:rtl/>
        </w:rPr>
        <w:t>לעסוק ב</w:t>
      </w:r>
      <w:r w:rsidR="008A4902" w:rsidRPr="001A0B66">
        <w:rPr>
          <w:rFonts w:ascii="FrankRuehl" w:hAnsi="FrankRuehl" w:cs="FrankRuehl"/>
          <w:sz w:val="28"/>
          <w:szCs w:val="28"/>
          <w:rtl/>
        </w:rPr>
        <w:t>הצעת החוק ה</w:t>
      </w:r>
      <w:r w:rsidR="001E0A01" w:rsidRPr="001A0B66">
        <w:rPr>
          <w:rFonts w:ascii="FrankRuehl" w:hAnsi="FrankRuehl" w:cs="FrankRuehl"/>
          <w:sz w:val="28"/>
          <w:szCs w:val="28"/>
          <w:rtl/>
        </w:rPr>
        <w:t xml:space="preserve">קיימת </w:t>
      </w:r>
      <w:r w:rsidR="008A4902" w:rsidRPr="001A0B66">
        <w:rPr>
          <w:rFonts w:ascii="FrankRuehl" w:hAnsi="FrankRuehl" w:cs="FrankRuehl"/>
          <w:sz w:val="28"/>
          <w:szCs w:val="28"/>
          <w:rtl/>
        </w:rPr>
        <w:t>ו</w:t>
      </w:r>
      <w:r w:rsidR="00B75746" w:rsidRPr="001A0B66">
        <w:rPr>
          <w:rFonts w:ascii="FrankRuehl" w:hAnsi="FrankRuehl" w:cs="FrankRuehl"/>
          <w:sz w:val="28"/>
          <w:szCs w:val="28"/>
          <w:rtl/>
        </w:rPr>
        <w:t>בזו שאנו מציעים במקומה</w:t>
      </w:r>
      <w:r w:rsidR="008A4902" w:rsidRPr="001A0B66">
        <w:rPr>
          <w:rFonts w:ascii="FrankRuehl" w:hAnsi="FrankRuehl" w:cs="FrankRuehl"/>
          <w:sz w:val="28"/>
          <w:szCs w:val="28"/>
          <w:rtl/>
        </w:rPr>
        <w:t>, אנו מבקשים לה</w:t>
      </w:r>
      <w:r w:rsidR="00F85D76" w:rsidRPr="001A0B66">
        <w:rPr>
          <w:rFonts w:ascii="FrankRuehl" w:hAnsi="FrankRuehl" w:cs="FrankRuehl"/>
          <w:sz w:val="28"/>
          <w:szCs w:val="28"/>
          <w:rtl/>
        </w:rPr>
        <w:t xml:space="preserve">ניח </w:t>
      </w:r>
      <w:r w:rsidR="001E0A01" w:rsidRPr="001A0B66">
        <w:rPr>
          <w:rFonts w:ascii="FrankRuehl" w:hAnsi="FrankRuehl" w:cs="FrankRuehl"/>
          <w:sz w:val="28"/>
          <w:szCs w:val="28"/>
          <w:rtl/>
        </w:rPr>
        <w:t xml:space="preserve">לדיון </w:t>
      </w:r>
      <w:r w:rsidR="00F85D76" w:rsidRPr="001A0B66">
        <w:rPr>
          <w:rFonts w:ascii="FrankRuehl" w:hAnsi="FrankRuehl" w:cs="FrankRuehl"/>
          <w:sz w:val="28"/>
          <w:szCs w:val="28"/>
          <w:rtl/>
        </w:rPr>
        <w:t xml:space="preserve">מצע תאורטי. </w:t>
      </w:r>
    </w:p>
    <w:p w14:paraId="5068E2EA" w14:textId="77777777" w:rsidR="004D1A0F" w:rsidRPr="001A0B66" w:rsidRDefault="00F86DB3"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w:t>
      </w:r>
      <w:r w:rsidR="00F85D76" w:rsidRPr="001A0B66">
        <w:rPr>
          <w:rFonts w:ascii="FrankRuehl" w:hAnsi="FrankRuehl" w:cs="FrankRuehl"/>
          <w:sz w:val="28"/>
          <w:szCs w:val="28"/>
          <w:rtl/>
        </w:rPr>
        <w:t xml:space="preserve">חלקו הראשון של המאמר </w:t>
      </w:r>
      <w:r w:rsidRPr="001A0B66">
        <w:rPr>
          <w:rFonts w:ascii="FrankRuehl" w:hAnsi="FrankRuehl" w:cs="FrankRuehl"/>
          <w:sz w:val="28"/>
          <w:szCs w:val="28"/>
          <w:rtl/>
        </w:rPr>
        <w:t>נ</w:t>
      </w:r>
      <w:r w:rsidR="00F85D76" w:rsidRPr="001A0B66">
        <w:rPr>
          <w:rFonts w:ascii="FrankRuehl" w:hAnsi="FrankRuehl" w:cs="FrankRuehl"/>
          <w:sz w:val="28"/>
          <w:szCs w:val="28"/>
          <w:rtl/>
        </w:rPr>
        <w:t xml:space="preserve">ציג </w:t>
      </w:r>
      <w:r w:rsidR="008A4902" w:rsidRPr="001A0B66">
        <w:rPr>
          <w:rFonts w:ascii="FrankRuehl" w:hAnsi="FrankRuehl" w:cs="FrankRuehl"/>
          <w:sz w:val="28"/>
          <w:szCs w:val="28"/>
          <w:rtl/>
        </w:rPr>
        <w:t>את</w:t>
      </w:r>
      <w:r w:rsidR="00D44AF0" w:rsidRPr="001A0B66">
        <w:rPr>
          <w:rFonts w:ascii="FrankRuehl" w:hAnsi="FrankRuehl" w:cs="FrankRuehl"/>
          <w:sz w:val="28"/>
          <w:szCs w:val="28"/>
          <w:rtl/>
        </w:rPr>
        <w:t xml:space="preserve"> השאלות התאורטיות </w:t>
      </w:r>
      <w:r w:rsidR="00A969D8" w:rsidRPr="001A0B66">
        <w:rPr>
          <w:rFonts w:ascii="FrankRuehl" w:hAnsi="FrankRuehl" w:cs="FrankRuehl"/>
          <w:sz w:val="28"/>
          <w:szCs w:val="28"/>
          <w:rtl/>
        </w:rPr>
        <w:t xml:space="preserve">ואת הבעיות המלוות </w:t>
      </w:r>
      <w:r w:rsidR="00D44AF0" w:rsidRPr="001A0B66">
        <w:rPr>
          <w:rFonts w:ascii="FrankRuehl" w:hAnsi="FrankRuehl" w:cs="FrankRuehl"/>
          <w:sz w:val="28"/>
          <w:szCs w:val="28"/>
          <w:rtl/>
        </w:rPr>
        <w:t>את</w:t>
      </w:r>
      <w:r w:rsidR="008A4902" w:rsidRPr="001A0B66">
        <w:rPr>
          <w:rFonts w:ascii="FrankRuehl" w:hAnsi="FrankRuehl" w:cs="FrankRuehl"/>
          <w:sz w:val="28"/>
          <w:szCs w:val="28"/>
          <w:rtl/>
        </w:rPr>
        <w:t xml:space="preserve"> סמכויות </w:t>
      </w:r>
      <w:r w:rsidR="00A969D8" w:rsidRPr="001A0B66">
        <w:rPr>
          <w:rFonts w:ascii="FrankRuehl" w:hAnsi="FrankRuehl" w:cs="FrankRuehl"/>
          <w:sz w:val="28"/>
          <w:szCs w:val="28"/>
          <w:rtl/>
        </w:rPr>
        <w:t>ה</w:t>
      </w:r>
      <w:r w:rsidR="008A4902" w:rsidRPr="001A0B66">
        <w:rPr>
          <w:rFonts w:ascii="FrankRuehl" w:hAnsi="FrankRuehl" w:cs="FrankRuehl"/>
          <w:sz w:val="28"/>
          <w:szCs w:val="28"/>
          <w:rtl/>
        </w:rPr>
        <w:t>חירום</w:t>
      </w:r>
      <w:r w:rsidR="00A969D8" w:rsidRPr="001A0B66">
        <w:rPr>
          <w:rFonts w:ascii="FrankRuehl" w:hAnsi="FrankRuehl" w:cs="FrankRuehl"/>
          <w:sz w:val="28"/>
          <w:szCs w:val="28"/>
          <w:rtl/>
        </w:rPr>
        <w:t xml:space="preserve">, </w:t>
      </w:r>
      <w:r w:rsidR="0056383A" w:rsidRPr="001A0B66">
        <w:rPr>
          <w:rFonts w:ascii="FrankRuehl" w:hAnsi="FrankRuehl" w:cs="FrankRuehl"/>
          <w:sz w:val="28"/>
          <w:szCs w:val="28"/>
          <w:rtl/>
        </w:rPr>
        <w:t xml:space="preserve">ובפרט </w:t>
      </w:r>
      <w:r w:rsidRPr="001A0B66">
        <w:rPr>
          <w:rFonts w:ascii="FrankRuehl" w:hAnsi="FrankRuehl" w:cs="FrankRuehl"/>
          <w:sz w:val="28"/>
          <w:szCs w:val="28"/>
          <w:rtl/>
        </w:rPr>
        <w:t xml:space="preserve">את </w:t>
      </w:r>
      <w:r w:rsidR="00A969D8" w:rsidRPr="001A0B66">
        <w:rPr>
          <w:rFonts w:ascii="FrankRuehl" w:hAnsi="FrankRuehl" w:cs="FrankRuehl"/>
          <w:sz w:val="28"/>
          <w:szCs w:val="28"/>
          <w:rtl/>
        </w:rPr>
        <w:t>הישענות</w:t>
      </w:r>
      <w:r w:rsidR="001E0A01" w:rsidRPr="001A0B66">
        <w:rPr>
          <w:rFonts w:ascii="FrankRuehl" w:hAnsi="FrankRuehl" w:cs="FrankRuehl"/>
          <w:sz w:val="28"/>
          <w:szCs w:val="28"/>
          <w:rtl/>
        </w:rPr>
        <w:t>ן</w:t>
      </w:r>
      <w:r w:rsidR="00A969D8" w:rsidRPr="001A0B66">
        <w:rPr>
          <w:rFonts w:ascii="FrankRuehl" w:hAnsi="FrankRuehl" w:cs="FrankRuehl"/>
          <w:sz w:val="28"/>
          <w:szCs w:val="28"/>
          <w:rtl/>
        </w:rPr>
        <w:t xml:space="preserve"> </w:t>
      </w:r>
      <w:proofErr w:type="spellStart"/>
      <w:r w:rsidRPr="001A0B66">
        <w:rPr>
          <w:rFonts w:ascii="FrankRuehl" w:hAnsi="FrankRuehl" w:cs="FrankRuehl"/>
          <w:sz w:val="28"/>
          <w:szCs w:val="28"/>
          <w:rtl/>
        </w:rPr>
        <w:t>הנכבדת</w:t>
      </w:r>
      <w:proofErr w:type="spellEnd"/>
      <w:r w:rsidRPr="001A0B66">
        <w:rPr>
          <w:rFonts w:ascii="FrankRuehl" w:hAnsi="FrankRuehl" w:cs="FrankRuehl"/>
          <w:sz w:val="28"/>
          <w:szCs w:val="28"/>
          <w:rtl/>
        </w:rPr>
        <w:t xml:space="preserve"> </w:t>
      </w:r>
      <w:r w:rsidR="00A969D8" w:rsidRPr="001A0B66">
        <w:rPr>
          <w:rFonts w:ascii="FrankRuehl" w:hAnsi="FrankRuehl" w:cs="FrankRuehl"/>
          <w:sz w:val="28"/>
          <w:szCs w:val="28"/>
          <w:rtl/>
        </w:rPr>
        <w:t>על ראיות חסויות. נ</w:t>
      </w:r>
      <w:r w:rsidR="00B75746" w:rsidRPr="001A0B66">
        <w:rPr>
          <w:rFonts w:ascii="FrankRuehl" w:hAnsi="FrankRuehl" w:cs="FrankRuehl"/>
          <w:sz w:val="28"/>
          <w:szCs w:val="28"/>
          <w:rtl/>
        </w:rPr>
        <w:t xml:space="preserve">בקש </w:t>
      </w:r>
      <w:r w:rsidR="001E0A01" w:rsidRPr="001A0B66">
        <w:rPr>
          <w:rFonts w:ascii="FrankRuehl" w:hAnsi="FrankRuehl" w:cs="FrankRuehl"/>
          <w:sz w:val="28"/>
          <w:szCs w:val="28"/>
          <w:rtl/>
        </w:rPr>
        <w:t xml:space="preserve">גם </w:t>
      </w:r>
      <w:r w:rsidR="00B75746" w:rsidRPr="001A0B66">
        <w:rPr>
          <w:rFonts w:ascii="FrankRuehl" w:hAnsi="FrankRuehl" w:cs="FrankRuehl"/>
          <w:sz w:val="28"/>
          <w:szCs w:val="28"/>
          <w:rtl/>
        </w:rPr>
        <w:t xml:space="preserve">להשיב לשאלה </w:t>
      </w:r>
      <w:r w:rsidR="004A36B2" w:rsidRPr="001A0B66">
        <w:rPr>
          <w:rFonts w:ascii="FrankRuehl" w:hAnsi="FrankRuehl" w:cs="FrankRuehl"/>
          <w:sz w:val="28"/>
          <w:szCs w:val="28"/>
          <w:rtl/>
        </w:rPr>
        <w:t xml:space="preserve">מדוע בחרנו </w:t>
      </w:r>
      <w:r w:rsidRPr="001A0B66">
        <w:rPr>
          <w:rFonts w:ascii="FrankRuehl" w:hAnsi="FrankRuehl" w:cs="FrankRuehl"/>
          <w:sz w:val="28"/>
          <w:szCs w:val="28"/>
          <w:rtl/>
        </w:rPr>
        <w:t xml:space="preserve">בכל זאת </w:t>
      </w:r>
      <w:r w:rsidR="004A36B2" w:rsidRPr="001A0B66">
        <w:rPr>
          <w:rFonts w:ascii="FrankRuehl" w:hAnsi="FrankRuehl" w:cs="FrankRuehl"/>
          <w:sz w:val="28"/>
          <w:szCs w:val="28"/>
          <w:rtl/>
        </w:rPr>
        <w:t xml:space="preserve">לתמוך בהסדר שאינו מבטל </w:t>
      </w:r>
      <w:r w:rsidR="00B75746" w:rsidRPr="001A0B66">
        <w:rPr>
          <w:rFonts w:ascii="FrankRuehl" w:hAnsi="FrankRuehl" w:cs="FrankRuehl"/>
          <w:sz w:val="28"/>
          <w:szCs w:val="28"/>
          <w:rtl/>
        </w:rPr>
        <w:t xml:space="preserve">את הבעיות </w:t>
      </w:r>
      <w:r w:rsidR="00A969D8" w:rsidRPr="001A0B66">
        <w:rPr>
          <w:rFonts w:ascii="FrankRuehl" w:hAnsi="FrankRuehl" w:cs="FrankRuehl"/>
          <w:sz w:val="28"/>
          <w:szCs w:val="28"/>
          <w:rtl/>
        </w:rPr>
        <w:t xml:space="preserve">הללו </w:t>
      </w:r>
      <w:r w:rsidR="004A36B2" w:rsidRPr="001A0B66">
        <w:rPr>
          <w:rFonts w:ascii="FrankRuehl" w:hAnsi="FrankRuehl" w:cs="FrankRuehl"/>
          <w:sz w:val="28"/>
          <w:szCs w:val="28"/>
          <w:rtl/>
        </w:rPr>
        <w:t>אלא מ</w:t>
      </w:r>
      <w:r w:rsidR="0056383A" w:rsidRPr="001A0B66">
        <w:rPr>
          <w:rFonts w:ascii="FrankRuehl" w:hAnsi="FrankRuehl" w:cs="FrankRuehl"/>
          <w:sz w:val="28"/>
          <w:szCs w:val="28"/>
          <w:rtl/>
        </w:rPr>
        <w:t>בקש ל</w:t>
      </w:r>
      <w:r w:rsidR="004A36B2" w:rsidRPr="001A0B66">
        <w:rPr>
          <w:rFonts w:ascii="FrankRuehl" w:hAnsi="FrankRuehl" w:cs="FrankRuehl"/>
          <w:sz w:val="28"/>
          <w:szCs w:val="28"/>
          <w:rtl/>
        </w:rPr>
        <w:t xml:space="preserve">שפר </w:t>
      </w:r>
      <w:r w:rsidR="00B75746" w:rsidRPr="001A0B66">
        <w:rPr>
          <w:rFonts w:ascii="FrankRuehl" w:hAnsi="FrankRuehl" w:cs="FrankRuehl"/>
          <w:sz w:val="28"/>
          <w:szCs w:val="28"/>
          <w:rtl/>
        </w:rPr>
        <w:t>את ההתמודדות ע</w:t>
      </w:r>
      <w:r w:rsidR="00836624" w:rsidRPr="001A0B66">
        <w:rPr>
          <w:rFonts w:ascii="FrankRuehl" w:hAnsi="FrankRuehl" w:cs="FrankRuehl"/>
          <w:sz w:val="28"/>
          <w:szCs w:val="28"/>
          <w:rtl/>
        </w:rPr>
        <w:t>י</w:t>
      </w:r>
      <w:r w:rsidR="00B75746" w:rsidRPr="001A0B66">
        <w:rPr>
          <w:rFonts w:ascii="FrankRuehl" w:hAnsi="FrankRuehl" w:cs="FrankRuehl"/>
          <w:sz w:val="28"/>
          <w:szCs w:val="28"/>
          <w:rtl/>
        </w:rPr>
        <w:t>מן</w:t>
      </w:r>
      <w:r w:rsidR="004A36B2" w:rsidRPr="001A0B66">
        <w:rPr>
          <w:rFonts w:ascii="FrankRuehl" w:hAnsi="FrankRuehl" w:cs="FrankRuehl"/>
          <w:sz w:val="28"/>
          <w:szCs w:val="28"/>
          <w:rtl/>
        </w:rPr>
        <w:t>. כמו כן נעמוד על דרכי</w:t>
      </w:r>
      <w:r w:rsidRPr="001A0B66">
        <w:rPr>
          <w:rFonts w:ascii="FrankRuehl" w:hAnsi="FrankRuehl" w:cs="FrankRuehl"/>
          <w:sz w:val="28"/>
          <w:szCs w:val="28"/>
          <w:rtl/>
        </w:rPr>
        <w:t xml:space="preserve"> הבקרה</w:t>
      </w:r>
      <w:r w:rsidR="004A36B2" w:rsidRPr="001A0B66">
        <w:rPr>
          <w:rFonts w:ascii="FrankRuehl" w:hAnsi="FrankRuehl" w:cs="FrankRuehl"/>
          <w:sz w:val="28"/>
          <w:szCs w:val="28"/>
          <w:rtl/>
        </w:rPr>
        <w:t xml:space="preserve"> השונות על השימוש בחומר חסוי. </w:t>
      </w:r>
      <w:r w:rsidR="00F85D76" w:rsidRPr="001A0B66">
        <w:rPr>
          <w:rFonts w:ascii="FrankRuehl" w:hAnsi="FrankRuehl" w:cs="FrankRuehl"/>
          <w:sz w:val="28"/>
          <w:szCs w:val="28"/>
          <w:rtl/>
        </w:rPr>
        <w:t xml:space="preserve">בחלק השני </w:t>
      </w:r>
      <w:r w:rsidR="00B9637B" w:rsidRPr="001A0B66">
        <w:rPr>
          <w:rFonts w:ascii="FrankRuehl" w:hAnsi="FrankRuehl" w:cs="FrankRuehl"/>
          <w:sz w:val="28"/>
          <w:szCs w:val="28"/>
          <w:rtl/>
        </w:rPr>
        <w:t xml:space="preserve">של המאמר </w:t>
      </w:r>
      <w:r w:rsidR="00F85D76" w:rsidRPr="001A0B66">
        <w:rPr>
          <w:rFonts w:ascii="FrankRuehl" w:hAnsi="FrankRuehl" w:cs="FrankRuehl"/>
          <w:sz w:val="28"/>
          <w:szCs w:val="28"/>
          <w:rtl/>
        </w:rPr>
        <w:t>נסביר את הצעת החוק הנוכחית</w:t>
      </w:r>
      <w:r w:rsidR="002D4530" w:rsidRPr="001A0B66">
        <w:rPr>
          <w:rFonts w:ascii="FrankRuehl" w:hAnsi="FrankRuehl" w:cs="FrankRuehl"/>
          <w:sz w:val="28"/>
          <w:szCs w:val="28"/>
          <w:rtl/>
        </w:rPr>
        <w:t>, נציג מרכיבים שלה</w:t>
      </w:r>
      <w:r w:rsidR="00F85D76" w:rsidRPr="001A0B66">
        <w:rPr>
          <w:rFonts w:ascii="FrankRuehl" w:hAnsi="FrankRuehl" w:cs="FrankRuehl"/>
          <w:sz w:val="28"/>
          <w:szCs w:val="28"/>
          <w:rtl/>
        </w:rPr>
        <w:t xml:space="preserve"> ו</w:t>
      </w:r>
      <w:r w:rsidRPr="001A0B66">
        <w:rPr>
          <w:rFonts w:ascii="FrankRuehl" w:hAnsi="FrankRuehl" w:cs="FrankRuehl"/>
          <w:sz w:val="28"/>
          <w:szCs w:val="28"/>
          <w:rtl/>
        </w:rPr>
        <w:t xml:space="preserve">נבחן </w:t>
      </w:r>
      <w:r w:rsidR="00F85D76" w:rsidRPr="001A0B66">
        <w:rPr>
          <w:rFonts w:ascii="FrankRuehl" w:hAnsi="FrankRuehl" w:cs="FrankRuehl"/>
          <w:sz w:val="28"/>
          <w:szCs w:val="28"/>
          <w:rtl/>
        </w:rPr>
        <w:t xml:space="preserve">חלק מהבעיות </w:t>
      </w:r>
      <w:r w:rsidRPr="001A0B66">
        <w:rPr>
          <w:rFonts w:ascii="FrankRuehl" w:hAnsi="FrankRuehl" w:cs="FrankRuehl"/>
          <w:sz w:val="28"/>
          <w:szCs w:val="28"/>
          <w:rtl/>
        </w:rPr>
        <w:t>הכרוכות בה</w:t>
      </w:r>
      <w:r w:rsidR="00F85D76" w:rsidRPr="001A0B66">
        <w:rPr>
          <w:rFonts w:ascii="FrankRuehl" w:hAnsi="FrankRuehl" w:cs="FrankRuehl"/>
          <w:sz w:val="28"/>
          <w:szCs w:val="28"/>
          <w:rtl/>
        </w:rPr>
        <w:t>. בחלק</w:t>
      </w:r>
      <w:r w:rsidRPr="001A0B66">
        <w:rPr>
          <w:rFonts w:ascii="FrankRuehl" w:hAnsi="FrankRuehl" w:cs="FrankRuehl"/>
          <w:sz w:val="28"/>
          <w:szCs w:val="28"/>
          <w:rtl/>
        </w:rPr>
        <w:t>ו</w:t>
      </w:r>
      <w:r w:rsidR="00F85D76" w:rsidRPr="001A0B66">
        <w:rPr>
          <w:rFonts w:ascii="FrankRuehl" w:hAnsi="FrankRuehl" w:cs="FrankRuehl"/>
          <w:sz w:val="28"/>
          <w:szCs w:val="28"/>
          <w:rtl/>
        </w:rPr>
        <w:t xml:space="preserve"> </w:t>
      </w:r>
      <w:r w:rsidR="00F85D76" w:rsidRPr="001A0B66">
        <w:rPr>
          <w:rFonts w:ascii="FrankRuehl" w:hAnsi="FrankRuehl" w:cs="FrankRuehl"/>
          <w:sz w:val="28"/>
          <w:szCs w:val="28"/>
          <w:rtl/>
        </w:rPr>
        <w:lastRenderedPageBreak/>
        <w:t>השלישי</w:t>
      </w:r>
      <w:r w:rsidR="00B9637B" w:rsidRPr="001A0B66">
        <w:rPr>
          <w:rFonts w:ascii="FrankRuehl" w:hAnsi="FrankRuehl" w:cs="FrankRuehl"/>
          <w:sz w:val="28"/>
          <w:szCs w:val="28"/>
          <w:rtl/>
        </w:rPr>
        <w:t xml:space="preserve"> </w:t>
      </w:r>
      <w:r w:rsidRPr="001A0B66">
        <w:rPr>
          <w:rFonts w:ascii="FrankRuehl" w:hAnsi="FrankRuehl" w:cs="FrankRuehl"/>
          <w:sz w:val="28"/>
          <w:szCs w:val="28"/>
          <w:rtl/>
        </w:rPr>
        <w:t xml:space="preserve">והאחרון </w:t>
      </w:r>
      <w:r w:rsidR="00B9637B" w:rsidRPr="001A0B66">
        <w:rPr>
          <w:rFonts w:ascii="FrankRuehl" w:hAnsi="FrankRuehl" w:cs="FrankRuehl"/>
          <w:sz w:val="28"/>
          <w:szCs w:val="28"/>
          <w:rtl/>
        </w:rPr>
        <w:t>של המאמר</w:t>
      </w:r>
      <w:r w:rsidR="00F85D76" w:rsidRPr="001A0B66">
        <w:rPr>
          <w:rFonts w:ascii="FrankRuehl" w:hAnsi="FrankRuehl" w:cs="FrankRuehl"/>
          <w:sz w:val="28"/>
          <w:szCs w:val="28"/>
          <w:rtl/>
        </w:rPr>
        <w:t xml:space="preserve"> נפרט את ההסדר שאותו אנחנו מציעים</w:t>
      </w:r>
      <w:r w:rsidR="00E148AF" w:rsidRPr="001A0B66">
        <w:rPr>
          <w:rFonts w:ascii="FrankRuehl" w:hAnsi="FrankRuehl" w:cs="FrankRuehl"/>
          <w:sz w:val="28"/>
          <w:szCs w:val="28"/>
          <w:rtl/>
        </w:rPr>
        <w:t>,</w:t>
      </w:r>
      <w:r w:rsidR="00F85D76" w:rsidRPr="001A0B66">
        <w:rPr>
          <w:rFonts w:ascii="FrankRuehl" w:hAnsi="FrankRuehl" w:cs="FrankRuehl"/>
          <w:sz w:val="28"/>
          <w:szCs w:val="28"/>
          <w:rtl/>
        </w:rPr>
        <w:t xml:space="preserve"> ו</w:t>
      </w:r>
      <w:r w:rsidR="00E148AF" w:rsidRPr="001A0B66">
        <w:rPr>
          <w:rFonts w:ascii="FrankRuehl" w:hAnsi="FrankRuehl" w:cs="FrankRuehl"/>
          <w:sz w:val="28"/>
          <w:szCs w:val="28"/>
          <w:rtl/>
        </w:rPr>
        <w:t xml:space="preserve">נסביר </w:t>
      </w:r>
      <w:r w:rsidR="00F85D76" w:rsidRPr="001A0B66">
        <w:rPr>
          <w:rFonts w:ascii="FrankRuehl" w:hAnsi="FrankRuehl" w:cs="FrankRuehl"/>
          <w:sz w:val="28"/>
          <w:szCs w:val="28"/>
          <w:rtl/>
        </w:rPr>
        <w:t xml:space="preserve">כיצד </w:t>
      </w:r>
      <w:r w:rsidR="00B9637B" w:rsidRPr="001A0B66">
        <w:rPr>
          <w:rFonts w:ascii="FrankRuehl" w:hAnsi="FrankRuehl" w:cs="FrankRuehl"/>
          <w:sz w:val="28"/>
          <w:szCs w:val="28"/>
          <w:rtl/>
        </w:rPr>
        <w:t>הוא מתמודד עם בעיית הראיות החסויות ו</w:t>
      </w:r>
      <w:r w:rsidR="00E148AF" w:rsidRPr="001A0B66">
        <w:rPr>
          <w:rFonts w:ascii="FrankRuehl" w:hAnsi="FrankRuehl" w:cs="FrankRuehl"/>
          <w:sz w:val="28"/>
          <w:szCs w:val="28"/>
          <w:rtl/>
        </w:rPr>
        <w:t>עם קשיי ההפעלה של עורכי דין מיוחדים</w:t>
      </w:r>
      <w:r w:rsidR="00B9637B" w:rsidRPr="001A0B66">
        <w:rPr>
          <w:rFonts w:ascii="FrankRuehl" w:hAnsi="FrankRuehl" w:cs="FrankRuehl"/>
          <w:sz w:val="28"/>
          <w:szCs w:val="28"/>
          <w:rtl/>
        </w:rPr>
        <w:t xml:space="preserve">. </w:t>
      </w:r>
      <w:r w:rsidR="00151D32" w:rsidRPr="001A0B66">
        <w:rPr>
          <w:rFonts w:ascii="FrankRuehl" w:hAnsi="FrankRuehl" w:cs="FrankRuehl"/>
          <w:sz w:val="28"/>
          <w:szCs w:val="28"/>
          <w:rtl/>
        </w:rPr>
        <w:t xml:space="preserve">נוסף על </w:t>
      </w:r>
      <w:r w:rsidR="00F85D76" w:rsidRPr="001A0B66">
        <w:rPr>
          <w:rFonts w:ascii="FrankRuehl" w:hAnsi="FrankRuehl" w:cs="FrankRuehl"/>
          <w:sz w:val="28"/>
          <w:szCs w:val="28"/>
          <w:rtl/>
        </w:rPr>
        <w:t xml:space="preserve">כך </w:t>
      </w:r>
      <w:r w:rsidR="00151D32" w:rsidRPr="001A0B66">
        <w:rPr>
          <w:rFonts w:ascii="FrankRuehl" w:hAnsi="FrankRuehl" w:cs="FrankRuehl"/>
          <w:sz w:val="28"/>
          <w:szCs w:val="28"/>
          <w:rtl/>
        </w:rPr>
        <w:t>נציג בחלק זה את הצעתנו</w:t>
      </w:r>
      <w:r w:rsidR="00F85D76" w:rsidRPr="001A0B66">
        <w:rPr>
          <w:rFonts w:ascii="FrankRuehl" w:hAnsi="FrankRuehl" w:cs="FrankRuehl"/>
          <w:sz w:val="28"/>
          <w:szCs w:val="28"/>
          <w:rtl/>
        </w:rPr>
        <w:t xml:space="preserve"> להחיל הסדר דומה</w:t>
      </w:r>
      <w:r w:rsidR="00B9637B" w:rsidRPr="001A0B66">
        <w:rPr>
          <w:rFonts w:ascii="FrankRuehl" w:hAnsi="FrankRuehl" w:cs="FrankRuehl"/>
          <w:sz w:val="28"/>
          <w:szCs w:val="28"/>
          <w:rtl/>
        </w:rPr>
        <w:t xml:space="preserve"> של עורכי דין מיוחדים</w:t>
      </w:r>
      <w:r w:rsidR="00F85D76" w:rsidRPr="001A0B66">
        <w:rPr>
          <w:rFonts w:ascii="FrankRuehl" w:hAnsi="FrankRuehl" w:cs="FrankRuehl"/>
          <w:sz w:val="28"/>
          <w:szCs w:val="28"/>
          <w:rtl/>
        </w:rPr>
        <w:t xml:space="preserve"> גם על מעצרים מנהליים בשטחים הכבושים</w:t>
      </w:r>
      <w:r w:rsidR="005D4588">
        <w:rPr>
          <w:rFonts w:ascii="FrankRuehl" w:hAnsi="FrankRuehl" w:cs="FrankRuehl"/>
          <w:sz w:val="28"/>
          <w:szCs w:val="28"/>
          <w:rtl/>
        </w:rPr>
        <w:t>, שהם</w:t>
      </w:r>
      <w:r w:rsidR="00151D32" w:rsidRPr="001A0B66">
        <w:rPr>
          <w:rFonts w:ascii="FrankRuehl" w:hAnsi="FrankRuehl" w:cs="FrankRuehl"/>
          <w:sz w:val="28"/>
          <w:szCs w:val="28"/>
          <w:rtl/>
        </w:rPr>
        <w:t xml:space="preserve"> </w:t>
      </w:r>
      <w:r w:rsidR="00F85D76" w:rsidRPr="001A0B66">
        <w:rPr>
          <w:rFonts w:ascii="FrankRuehl" w:hAnsi="FrankRuehl" w:cs="FrankRuehl"/>
          <w:sz w:val="28"/>
          <w:szCs w:val="28"/>
          <w:rtl/>
        </w:rPr>
        <w:t>רוב המעצרים המנהליים שמדינת ישראל מבצעת</w:t>
      </w:r>
      <w:r w:rsidR="00D44AF0" w:rsidRPr="001A0B66">
        <w:rPr>
          <w:rFonts w:ascii="FrankRuehl" w:hAnsi="FrankRuehl" w:cs="FrankRuehl"/>
          <w:sz w:val="28"/>
          <w:szCs w:val="28"/>
          <w:rtl/>
        </w:rPr>
        <w:t>, ונדון בהיבטים המיוחדים הנובעים מכך.</w:t>
      </w:r>
      <w:r w:rsidR="00EE616E" w:rsidRPr="001A0B66">
        <w:rPr>
          <w:rStyle w:val="FootnoteReference"/>
          <w:rFonts w:ascii="FrankRuehl" w:hAnsi="FrankRuehl" w:cs="FrankRuehl"/>
          <w:sz w:val="28"/>
          <w:szCs w:val="28"/>
          <w:rtl/>
        </w:rPr>
        <w:footnoteReference w:id="8"/>
      </w:r>
      <w:r w:rsidR="00D44AF0" w:rsidRPr="001A0B66">
        <w:rPr>
          <w:rFonts w:ascii="FrankRuehl" w:hAnsi="FrankRuehl" w:cs="FrankRuehl"/>
          <w:sz w:val="28"/>
          <w:szCs w:val="28"/>
          <w:rtl/>
        </w:rPr>
        <w:t xml:space="preserve"> בנספח למאמר </w:t>
      </w:r>
      <w:r w:rsidR="00151D32" w:rsidRPr="001A0B66">
        <w:rPr>
          <w:rFonts w:ascii="FrankRuehl" w:hAnsi="FrankRuehl" w:cs="FrankRuehl"/>
          <w:sz w:val="28"/>
          <w:szCs w:val="28"/>
          <w:rtl/>
        </w:rPr>
        <w:t xml:space="preserve">נביא </w:t>
      </w:r>
      <w:r w:rsidR="00D44AF0" w:rsidRPr="001A0B66">
        <w:rPr>
          <w:rFonts w:ascii="FrankRuehl" w:hAnsi="FrankRuehl" w:cs="FrankRuehl"/>
          <w:sz w:val="28"/>
          <w:szCs w:val="28"/>
          <w:rtl/>
        </w:rPr>
        <w:t xml:space="preserve">נוסח </w:t>
      </w:r>
      <w:r w:rsidR="00A969D8" w:rsidRPr="001A0B66">
        <w:rPr>
          <w:rFonts w:ascii="FrankRuehl" w:hAnsi="FrankRuehl" w:cs="FrankRuehl"/>
          <w:sz w:val="28"/>
          <w:szCs w:val="28"/>
          <w:rtl/>
        </w:rPr>
        <w:t xml:space="preserve">קונקרטי </w:t>
      </w:r>
      <w:r w:rsidR="00D44AF0" w:rsidRPr="001A0B66">
        <w:rPr>
          <w:rFonts w:ascii="FrankRuehl" w:hAnsi="FrankRuehl" w:cs="FrankRuehl"/>
          <w:sz w:val="28"/>
          <w:szCs w:val="28"/>
          <w:rtl/>
        </w:rPr>
        <w:t xml:space="preserve">מתוקן </w:t>
      </w:r>
      <w:r w:rsidR="00151D32" w:rsidRPr="001A0B66">
        <w:rPr>
          <w:rFonts w:ascii="FrankRuehl" w:hAnsi="FrankRuehl" w:cs="FrankRuehl"/>
          <w:sz w:val="28"/>
          <w:szCs w:val="28"/>
          <w:rtl/>
        </w:rPr>
        <w:t>ש</w:t>
      </w:r>
      <w:r w:rsidR="00D44AF0" w:rsidRPr="001A0B66">
        <w:rPr>
          <w:rFonts w:ascii="FrankRuehl" w:hAnsi="FrankRuehl" w:cs="FrankRuehl"/>
          <w:sz w:val="28"/>
          <w:szCs w:val="28"/>
          <w:rtl/>
        </w:rPr>
        <w:t>ל</w:t>
      </w:r>
      <w:r w:rsidR="00151D32" w:rsidRPr="001A0B66">
        <w:rPr>
          <w:rFonts w:ascii="FrankRuehl" w:hAnsi="FrankRuehl" w:cs="FrankRuehl"/>
          <w:sz w:val="28"/>
          <w:szCs w:val="28"/>
          <w:rtl/>
        </w:rPr>
        <w:t xml:space="preserve"> </w:t>
      </w:r>
      <w:r w:rsidR="00D44AF0" w:rsidRPr="001A0B66">
        <w:rPr>
          <w:rFonts w:ascii="FrankRuehl" w:hAnsi="FrankRuehl" w:cs="FrankRuehl"/>
          <w:sz w:val="28"/>
          <w:szCs w:val="28"/>
          <w:rtl/>
        </w:rPr>
        <w:t>הצעת החוק</w:t>
      </w:r>
      <w:r w:rsidR="005D4588">
        <w:rPr>
          <w:rFonts w:ascii="FrankRuehl" w:hAnsi="FrankRuehl" w:cs="FrankRuehl"/>
          <w:sz w:val="28"/>
          <w:szCs w:val="28"/>
          <w:rtl/>
        </w:rPr>
        <w:t xml:space="preserve"> שבה אנו תומכים</w:t>
      </w:r>
      <w:r w:rsidR="00D44AF0" w:rsidRPr="001A0B66">
        <w:rPr>
          <w:rFonts w:ascii="FrankRuehl" w:hAnsi="FrankRuehl" w:cs="FrankRuehl"/>
          <w:sz w:val="28"/>
          <w:szCs w:val="28"/>
          <w:rtl/>
        </w:rPr>
        <w:t>.</w:t>
      </w:r>
      <w:r w:rsidR="005B5678" w:rsidRPr="001A0B66">
        <w:rPr>
          <w:rFonts w:ascii="FrankRuehl" w:hAnsi="FrankRuehl" w:cs="FrankRuehl"/>
          <w:sz w:val="28"/>
          <w:szCs w:val="28"/>
          <w:rtl/>
        </w:rPr>
        <w:t xml:space="preserve"> </w:t>
      </w:r>
    </w:p>
    <w:p w14:paraId="62D61AF3" w14:textId="77777777" w:rsidR="00A17F13" w:rsidRPr="001A0B66" w:rsidRDefault="00A17F13" w:rsidP="00F307FB">
      <w:pPr>
        <w:pStyle w:val="Heading1"/>
        <w:spacing w:line="276" w:lineRule="auto"/>
        <w:rPr>
          <w:rFonts w:ascii="FrankRuehl" w:hAnsi="FrankRuehl" w:cs="FrankRuehl"/>
          <w:rtl/>
        </w:rPr>
      </w:pPr>
      <w:bookmarkStart w:id="11" w:name="_Toc53124421"/>
      <w:bookmarkStart w:id="12" w:name="_Toc52981436"/>
      <w:bookmarkStart w:id="13" w:name="_Toc52984555"/>
      <w:bookmarkStart w:id="14" w:name="_Toc53143372"/>
      <w:r w:rsidRPr="001A0B66">
        <w:rPr>
          <w:rFonts w:ascii="FrankRuehl" w:hAnsi="FrankRuehl" w:cs="FrankRuehl"/>
          <w:rtl/>
        </w:rPr>
        <w:t>בעיית הראיות החסויות</w:t>
      </w:r>
      <w:r w:rsidR="00201EC8" w:rsidRPr="001A0B66">
        <w:rPr>
          <w:rFonts w:ascii="FrankRuehl" w:hAnsi="FrankRuehl" w:cs="FrankRuehl"/>
          <w:rtl/>
        </w:rPr>
        <w:t xml:space="preserve"> – היבטים תאורטיים </w:t>
      </w:r>
      <w:r w:rsidRPr="001A0B66">
        <w:rPr>
          <w:rFonts w:ascii="FrankRuehl" w:hAnsi="FrankRuehl" w:cs="FrankRuehl"/>
          <w:rtl/>
        </w:rPr>
        <w:t>ומודלים להתמודדות מעשית</w:t>
      </w:r>
      <w:bookmarkEnd w:id="11"/>
      <w:r w:rsidRPr="001A0B66">
        <w:rPr>
          <w:rFonts w:ascii="FrankRuehl" w:hAnsi="FrankRuehl" w:cs="FrankRuehl"/>
          <w:rtl/>
        </w:rPr>
        <w:t xml:space="preserve"> </w:t>
      </w:r>
      <w:bookmarkEnd w:id="12"/>
      <w:bookmarkEnd w:id="13"/>
      <w:bookmarkEnd w:id="14"/>
    </w:p>
    <w:p w14:paraId="4AD4C45A" w14:textId="77777777" w:rsidR="00A17F13" w:rsidRPr="001A0B66" w:rsidRDefault="00A17F13" w:rsidP="00F307FB">
      <w:pPr>
        <w:pStyle w:val="Heading2"/>
        <w:spacing w:line="276" w:lineRule="auto"/>
        <w:rPr>
          <w:rFonts w:ascii="FrankRuehl" w:hAnsi="FrankRuehl" w:cs="FrankRuehl"/>
          <w:sz w:val="28"/>
          <w:szCs w:val="28"/>
          <w:rtl/>
        </w:rPr>
      </w:pPr>
      <w:bookmarkStart w:id="15" w:name="_Toc52981437"/>
      <w:bookmarkStart w:id="16" w:name="_Toc52984556"/>
      <w:bookmarkStart w:id="17" w:name="_Toc53124422"/>
      <w:bookmarkStart w:id="18" w:name="_Toc53143373"/>
      <w:r w:rsidRPr="001A0B66">
        <w:rPr>
          <w:rFonts w:ascii="FrankRuehl" w:hAnsi="FrankRuehl" w:cs="FrankRuehl"/>
          <w:sz w:val="28"/>
          <w:szCs w:val="28"/>
          <w:rtl/>
        </w:rPr>
        <w:t>היבטים תאורטיים</w:t>
      </w:r>
      <w:bookmarkEnd w:id="15"/>
      <w:bookmarkEnd w:id="16"/>
      <w:bookmarkEnd w:id="17"/>
      <w:bookmarkEnd w:id="18"/>
    </w:p>
    <w:p w14:paraId="5F7D95FF" w14:textId="77777777" w:rsidR="00602094" w:rsidRPr="001A0B66" w:rsidRDefault="0047265F"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קיו</w:t>
      </w:r>
      <w:r w:rsidR="00275C72" w:rsidRPr="001A0B66">
        <w:rPr>
          <w:rFonts w:ascii="FrankRuehl" w:hAnsi="FrankRuehl" w:cs="FrankRuehl"/>
          <w:sz w:val="28"/>
          <w:szCs w:val="28"/>
          <w:rtl/>
        </w:rPr>
        <w:t>מ</w:t>
      </w:r>
      <w:r w:rsidRPr="001A0B66">
        <w:rPr>
          <w:rFonts w:ascii="FrankRuehl" w:hAnsi="FrankRuehl" w:cs="FrankRuehl"/>
          <w:sz w:val="28"/>
          <w:szCs w:val="28"/>
          <w:rtl/>
        </w:rPr>
        <w:t xml:space="preserve">ם </w:t>
      </w:r>
      <w:r w:rsidR="00151D32" w:rsidRPr="001A0B66">
        <w:rPr>
          <w:rFonts w:ascii="FrankRuehl" w:hAnsi="FrankRuehl" w:cs="FrankRuehl"/>
          <w:sz w:val="28"/>
          <w:szCs w:val="28"/>
          <w:rtl/>
        </w:rPr>
        <w:t>בו-בזמן</w:t>
      </w:r>
      <w:r w:rsidRPr="001A0B66">
        <w:rPr>
          <w:rFonts w:ascii="FrankRuehl" w:hAnsi="FrankRuehl" w:cs="FrankRuehl"/>
          <w:sz w:val="28"/>
          <w:szCs w:val="28"/>
          <w:rtl/>
        </w:rPr>
        <w:t xml:space="preserve"> של שני נתיבים </w:t>
      </w:r>
      <w:r w:rsidR="006E4A43" w:rsidRPr="001A0B66">
        <w:rPr>
          <w:rFonts w:ascii="FrankRuehl" w:hAnsi="FrankRuehl" w:cs="FrankRuehl"/>
          <w:sz w:val="28"/>
          <w:szCs w:val="28"/>
          <w:rtl/>
        </w:rPr>
        <w:t>כה שונים</w:t>
      </w:r>
      <w:r w:rsidRPr="001A0B66">
        <w:rPr>
          <w:rFonts w:ascii="FrankRuehl" w:hAnsi="FrankRuehl" w:cs="FrankRuehl"/>
          <w:sz w:val="28"/>
          <w:szCs w:val="28"/>
          <w:rtl/>
        </w:rPr>
        <w:t xml:space="preserve"> – </w:t>
      </w:r>
      <w:r w:rsidR="00275C72" w:rsidRPr="001A0B66">
        <w:rPr>
          <w:rFonts w:ascii="FrankRuehl" w:hAnsi="FrankRuehl" w:cs="FrankRuehl"/>
          <w:sz w:val="28"/>
          <w:szCs w:val="28"/>
          <w:rtl/>
        </w:rPr>
        <w:t>הנתיב הפלילי</w:t>
      </w:r>
      <w:r w:rsidR="00A17F13" w:rsidRPr="001A0B66">
        <w:rPr>
          <w:rFonts w:ascii="FrankRuehl" w:hAnsi="FrankRuehl" w:cs="FrankRuehl"/>
          <w:sz w:val="28"/>
          <w:szCs w:val="28"/>
          <w:rtl/>
        </w:rPr>
        <w:t xml:space="preserve">, </w:t>
      </w:r>
      <w:r w:rsidR="00AE2B8B" w:rsidRPr="001A0B66">
        <w:rPr>
          <w:rFonts w:ascii="FrankRuehl" w:hAnsi="FrankRuehl" w:cs="FrankRuehl"/>
          <w:sz w:val="28"/>
          <w:szCs w:val="28"/>
          <w:rtl/>
        </w:rPr>
        <w:t xml:space="preserve">שבו אפשרות </w:t>
      </w:r>
      <w:r w:rsidR="006C4BD4" w:rsidRPr="001A0B66">
        <w:rPr>
          <w:rFonts w:ascii="FrankRuehl" w:hAnsi="FrankRuehl" w:cs="FrankRuehl"/>
          <w:sz w:val="28"/>
          <w:szCs w:val="28"/>
          <w:rtl/>
        </w:rPr>
        <w:t xml:space="preserve">המדינה להישען על </w:t>
      </w:r>
      <w:r w:rsidR="00AE2B8B" w:rsidRPr="001A0B66">
        <w:rPr>
          <w:rFonts w:ascii="FrankRuehl" w:hAnsi="FrankRuehl" w:cs="FrankRuehl"/>
          <w:sz w:val="28"/>
          <w:szCs w:val="28"/>
          <w:rtl/>
        </w:rPr>
        <w:t>ראיות חסויות היא מוגבלת ביותר</w:t>
      </w:r>
      <w:r w:rsidR="00A17F13" w:rsidRPr="001A0B66">
        <w:rPr>
          <w:rFonts w:ascii="FrankRuehl" w:hAnsi="FrankRuehl" w:cs="FrankRuehl"/>
          <w:sz w:val="28"/>
          <w:szCs w:val="28"/>
          <w:rtl/>
        </w:rPr>
        <w:t>,</w:t>
      </w:r>
      <w:r w:rsidR="00AE2B8B" w:rsidRPr="001A0B66">
        <w:rPr>
          <w:rFonts w:ascii="FrankRuehl" w:hAnsi="FrankRuehl" w:cs="FrankRuehl"/>
          <w:sz w:val="28"/>
          <w:szCs w:val="28"/>
          <w:rtl/>
        </w:rPr>
        <w:t xml:space="preserve"> </w:t>
      </w:r>
      <w:r w:rsidR="00275C72" w:rsidRPr="001A0B66">
        <w:rPr>
          <w:rFonts w:ascii="FrankRuehl" w:hAnsi="FrankRuehl" w:cs="FrankRuehl"/>
          <w:sz w:val="28"/>
          <w:szCs w:val="28"/>
          <w:rtl/>
        </w:rPr>
        <w:t>ו</w:t>
      </w:r>
      <w:r w:rsidR="00CF5D52" w:rsidRPr="001A0B66">
        <w:rPr>
          <w:rFonts w:ascii="FrankRuehl" w:hAnsi="FrankRuehl" w:cs="FrankRuehl"/>
          <w:sz w:val="28"/>
          <w:szCs w:val="28"/>
          <w:rtl/>
        </w:rPr>
        <w:t>נתיב</w:t>
      </w:r>
      <w:r w:rsidR="00275C72" w:rsidRPr="001A0B66">
        <w:rPr>
          <w:rFonts w:ascii="FrankRuehl" w:hAnsi="FrankRuehl" w:cs="FrankRuehl"/>
          <w:sz w:val="28"/>
          <w:szCs w:val="28"/>
          <w:rtl/>
        </w:rPr>
        <w:t xml:space="preserve"> סמכויות שעת</w:t>
      </w:r>
      <w:r w:rsidR="00151D32" w:rsidRPr="001A0B66">
        <w:rPr>
          <w:rFonts w:ascii="FrankRuehl" w:hAnsi="FrankRuehl" w:cs="FrankRuehl"/>
          <w:sz w:val="28"/>
          <w:szCs w:val="28"/>
          <w:rtl/>
        </w:rPr>
        <w:t xml:space="preserve"> </w:t>
      </w:r>
      <w:r w:rsidR="00CF5D52" w:rsidRPr="001A0B66">
        <w:rPr>
          <w:rFonts w:ascii="FrankRuehl" w:hAnsi="FrankRuehl" w:cs="FrankRuehl"/>
          <w:sz w:val="28"/>
          <w:szCs w:val="28"/>
          <w:rtl/>
        </w:rPr>
        <w:t>ה</w:t>
      </w:r>
      <w:r w:rsidR="00275C72" w:rsidRPr="001A0B66">
        <w:rPr>
          <w:rFonts w:ascii="FrankRuehl" w:hAnsi="FrankRuehl" w:cs="FrankRuehl"/>
          <w:sz w:val="28"/>
          <w:szCs w:val="28"/>
          <w:rtl/>
        </w:rPr>
        <w:t>חירום</w:t>
      </w:r>
      <w:r w:rsidR="00A17F13" w:rsidRPr="001A0B66">
        <w:rPr>
          <w:rFonts w:ascii="FrankRuehl" w:hAnsi="FrankRuehl" w:cs="FrankRuehl"/>
          <w:sz w:val="28"/>
          <w:szCs w:val="28"/>
          <w:rtl/>
        </w:rPr>
        <w:t>, שנשע</w:t>
      </w:r>
      <w:r w:rsidR="005F6BD4" w:rsidRPr="001A0B66">
        <w:rPr>
          <w:rFonts w:ascii="FrankRuehl" w:hAnsi="FrankRuehl" w:cs="FrankRuehl"/>
          <w:sz w:val="28"/>
          <w:szCs w:val="28"/>
          <w:rtl/>
        </w:rPr>
        <w:t>ן</w:t>
      </w:r>
      <w:r w:rsidR="00A17F13" w:rsidRPr="001A0B66">
        <w:rPr>
          <w:rFonts w:ascii="FrankRuehl" w:hAnsi="FrankRuehl" w:cs="FrankRuehl"/>
          <w:sz w:val="28"/>
          <w:szCs w:val="28"/>
          <w:rtl/>
        </w:rPr>
        <w:t xml:space="preserve"> </w:t>
      </w:r>
      <w:r w:rsidR="00151D32" w:rsidRPr="001A0B66">
        <w:rPr>
          <w:rFonts w:ascii="FrankRuehl" w:hAnsi="FrankRuehl" w:cs="FrankRuehl"/>
          <w:sz w:val="28"/>
          <w:szCs w:val="28"/>
          <w:rtl/>
        </w:rPr>
        <w:t xml:space="preserve">במידה </w:t>
      </w:r>
      <w:r w:rsidR="005F6BD4" w:rsidRPr="001A0B66">
        <w:rPr>
          <w:rFonts w:ascii="FrankRuehl" w:hAnsi="FrankRuehl" w:cs="FrankRuehl"/>
          <w:sz w:val="28"/>
          <w:szCs w:val="28"/>
          <w:rtl/>
        </w:rPr>
        <w:t xml:space="preserve">עצומה </w:t>
      </w:r>
      <w:r w:rsidR="00A17F13" w:rsidRPr="001A0B66">
        <w:rPr>
          <w:rFonts w:ascii="FrankRuehl" w:hAnsi="FrankRuehl" w:cs="FrankRuehl"/>
          <w:sz w:val="28"/>
          <w:szCs w:val="28"/>
          <w:rtl/>
        </w:rPr>
        <w:t>על ראיות חסויות</w:t>
      </w:r>
      <w:r w:rsidR="00275C72" w:rsidRPr="001A0B66">
        <w:rPr>
          <w:rFonts w:ascii="FrankRuehl" w:hAnsi="FrankRuehl" w:cs="FrankRuehl"/>
          <w:sz w:val="28"/>
          <w:szCs w:val="28"/>
          <w:rtl/>
        </w:rPr>
        <w:t xml:space="preserve"> – </w:t>
      </w:r>
      <w:r w:rsidRPr="001A0B66">
        <w:rPr>
          <w:rFonts w:ascii="FrankRuehl" w:hAnsi="FrankRuehl" w:cs="FrankRuehl"/>
          <w:sz w:val="28"/>
          <w:szCs w:val="28"/>
          <w:rtl/>
        </w:rPr>
        <w:t>מגל</w:t>
      </w:r>
      <w:r w:rsidR="006060F2" w:rsidRPr="001A0B66">
        <w:rPr>
          <w:rFonts w:ascii="FrankRuehl" w:hAnsi="FrankRuehl" w:cs="FrankRuehl"/>
          <w:sz w:val="28"/>
          <w:szCs w:val="28"/>
          <w:rtl/>
        </w:rPr>
        <w:t>ם</w:t>
      </w:r>
      <w:r w:rsidRPr="001A0B66">
        <w:rPr>
          <w:rFonts w:ascii="FrankRuehl" w:hAnsi="FrankRuehl" w:cs="FrankRuehl"/>
          <w:sz w:val="28"/>
          <w:szCs w:val="28"/>
          <w:rtl/>
        </w:rPr>
        <w:t xml:space="preserve"> פרדוקס</w:t>
      </w:r>
      <w:r w:rsidR="00275C72" w:rsidRPr="001A0B66">
        <w:rPr>
          <w:rFonts w:ascii="FrankRuehl" w:hAnsi="FrankRuehl" w:cs="FrankRuehl"/>
          <w:sz w:val="28"/>
          <w:szCs w:val="28"/>
          <w:rtl/>
        </w:rPr>
        <w:t xml:space="preserve"> ו</w:t>
      </w:r>
      <w:r w:rsidR="00110EE7" w:rsidRPr="001A0B66">
        <w:rPr>
          <w:rFonts w:ascii="FrankRuehl" w:hAnsi="FrankRuehl" w:cs="FrankRuehl"/>
          <w:sz w:val="28"/>
          <w:szCs w:val="28"/>
          <w:rtl/>
        </w:rPr>
        <w:t xml:space="preserve">בעינינו </w:t>
      </w:r>
      <w:r w:rsidR="00E46FB3" w:rsidRPr="001A0B66">
        <w:rPr>
          <w:rFonts w:ascii="FrankRuehl" w:hAnsi="FrankRuehl" w:cs="FrankRuehl"/>
          <w:sz w:val="28"/>
          <w:szCs w:val="28"/>
          <w:rtl/>
        </w:rPr>
        <w:t xml:space="preserve">גם </w:t>
      </w:r>
      <w:r w:rsidRPr="001A0B66">
        <w:rPr>
          <w:rFonts w:ascii="FrankRuehl" w:hAnsi="FrankRuehl" w:cs="FrankRuehl"/>
          <w:sz w:val="28"/>
          <w:szCs w:val="28"/>
          <w:rtl/>
        </w:rPr>
        <w:t>לא מעט צביעות. מצד אחד, "ישראל הנורמלית" מ</w:t>
      </w:r>
      <w:r w:rsidR="00FA4953" w:rsidRPr="001A0B66">
        <w:rPr>
          <w:rFonts w:ascii="FrankRuehl" w:hAnsi="FrankRuehl" w:cs="FrankRuehl"/>
          <w:sz w:val="28"/>
          <w:szCs w:val="28"/>
          <w:rtl/>
        </w:rPr>
        <w:t>ת</w:t>
      </w:r>
      <w:r w:rsidRPr="001A0B66">
        <w:rPr>
          <w:rFonts w:ascii="FrankRuehl" w:hAnsi="FrankRuehl" w:cs="FrankRuehl"/>
          <w:sz w:val="28"/>
          <w:szCs w:val="28"/>
          <w:rtl/>
        </w:rPr>
        <w:t xml:space="preserve">הללת </w:t>
      </w:r>
      <w:r w:rsidR="00FA4953" w:rsidRPr="001A0B66">
        <w:rPr>
          <w:rFonts w:ascii="FrankRuehl" w:hAnsi="FrankRuehl" w:cs="FrankRuehl"/>
          <w:sz w:val="28"/>
          <w:szCs w:val="28"/>
          <w:rtl/>
        </w:rPr>
        <w:t>ב</w:t>
      </w:r>
      <w:r w:rsidRPr="001A0B66">
        <w:rPr>
          <w:rFonts w:ascii="FrankRuehl" w:hAnsi="FrankRuehl" w:cs="FrankRuehl"/>
          <w:sz w:val="28"/>
          <w:szCs w:val="28"/>
          <w:rtl/>
        </w:rPr>
        <w:t>שמירת הכללים והעקרונות של ההליך הפלילי: יכולתו של הנאשם להתגונן, להיחשף למלוא הראיות ה</w:t>
      </w:r>
      <w:r w:rsidR="00AE2B8B" w:rsidRPr="001A0B66">
        <w:rPr>
          <w:rFonts w:ascii="FrankRuehl" w:hAnsi="FrankRuehl" w:cs="FrankRuehl"/>
          <w:sz w:val="28"/>
          <w:szCs w:val="28"/>
          <w:rtl/>
        </w:rPr>
        <w:t>רל</w:t>
      </w:r>
      <w:r w:rsidR="00A14D00" w:rsidRPr="001A0B66">
        <w:rPr>
          <w:rFonts w:ascii="FrankRuehl" w:hAnsi="FrankRuehl" w:cs="FrankRuehl"/>
          <w:sz w:val="28"/>
          <w:szCs w:val="28"/>
          <w:rtl/>
        </w:rPr>
        <w:t>וו</w:t>
      </w:r>
      <w:r w:rsidR="00AE2B8B" w:rsidRPr="001A0B66">
        <w:rPr>
          <w:rFonts w:ascii="FrankRuehl" w:hAnsi="FrankRuehl" w:cs="FrankRuehl"/>
          <w:sz w:val="28"/>
          <w:szCs w:val="28"/>
          <w:rtl/>
        </w:rPr>
        <w:t>נטיות</w:t>
      </w:r>
      <w:r w:rsidRPr="001A0B66">
        <w:rPr>
          <w:rFonts w:ascii="FrankRuehl" w:hAnsi="FrankRuehl" w:cs="FrankRuehl"/>
          <w:sz w:val="28"/>
          <w:szCs w:val="28"/>
          <w:rtl/>
        </w:rPr>
        <w:t xml:space="preserve"> לעניינו, לחקור את כל העדים כנגדו, לחסום עדויות שמיעה, </w:t>
      </w:r>
      <w:r w:rsidR="006C4BD4" w:rsidRPr="001A0B66">
        <w:rPr>
          <w:rFonts w:ascii="FrankRuehl" w:hAnsi="FrankRuehl" w:cs="FrankRuehl"/>
          <w:sz w:val="28"/>
          <w:szCs w:val="28"/>
          <w:rtl/>
        </w:rPr>
        <w:t>ושדינו יוכרע וייגזר בבית משפט</w:t>
      </w:r>
      <w:r w:rsidR="00FA4953" w:rsidRPr="001A0B66">
        <w:rPr>
          <w:rFonts w:ascii="FrankRuehl" w:hAnsi="FrankRuehl" w:cs="FrankRuehl"/>
          <w:sz w:val="28"/>
          <w:szCs w:val="28"/>
          <w:rtl/>
        </w:rPr>
        <w:t>.</w:t>
      </w:r>
      <w:r w:rsidRPr="001A0B66">
        <w:rPr>
          <w:rFonts w:ascii="FrankRuehl" w:hAnsi="FrankRuehl" w:cs="FrankRuehl"/>
          <w:sz w:val="28"/>
          <w:szCs w:val="28"/>
          <w:rtl/>
        </w:rPr>
        <w:t xml:space="preserve"> ומצד שני, "ישראל </w:t>
      </w:r>
      <w:r w:rsidR="00640CDC" w:rsidRPr="001A0B66">
        <w:rPr>
          <w:rFonts w:ascii="FrankRuehl" w:hAnsi="FrankRuehl" w:cs="FrankRuehl"/>
          <w:sz w:val="28"/>
          <w:szCs w:val="28"/>
          <w:rtl/>
        </w:rPr>
        <w:t>הלא נורמלית</w:t>
      </w:r>
      <w:r w:rsidRPr="001A0B66">
        <w:rPr>
          <w:rFonts w:ascii="FrankRuehl" w:hAnsi="FrankRuehl" w:cs="FrankRuehl"/>
          <w:sz w:val="28"/>
          <w:szCs w:val="28"/>
          <w:rtl/>
        </w:rPr>
        <w:t xml:space="preserve">" מוותרת </w:t>
      </w:r>
      <w:r w:rsidR="004671FD" w:rsidRPr="001A0B66">
        <w:rPr>
          <w:rFonts w:ascii="FrankRuehl" w:hAnsi="FrankRuehl" w:cs="FrankRuehl"/>
          <w:sz w:val="28"/>
          <w:szCs w:val="28"/>
          <w:rtl/>
        </w:rPr>
        <w:t>כמעט כליל</w:t>
      </w:r>
      <w:r w:rsidRPr="001A0B66">
        <w:rPr>
          <w:rFonts w:ascii="FrankRuehl" w:hAnsi="FrankRuehl" w:cs="FrankRuehl"/>
          <w:sz w:val="28"/>
          <w:szCs w:val="28"/>
          <w:rtl/>
        </w:rPr>
        <w:t xml:space="preserve"> על </w:t>
      </w:r>
      <w:r w:rsidR="00AE2B8B" w:rsidRPr="001A0B66">
        <w:rPr>
          <w:rFonts w:ascii="FrankRuehl" w:hAnsi="FrankRuehl" w:cs="FrankRuehl"/>
          <w:sz w:val="28"/>
          <w:szCs w:val="28"/>
          <w:rtl/>
        </w:rPr>
        <w:t>כל אלו</w:t>
      </w:r>
      <w:r w:rsidR="00151D32" w:rsidRPr="001A0B66">
        <w:rPr>
          <w:rFonts w:ascii="FrankRuehl" w:hAnsi="FrankRuehl" w:cs="FrankRuehl"/>
          <w:sz w:val="28"/>
          <w:szCs w:val="28"/>
          <w:rtl/>
        </w:rPr>
        <w:t>,</w:t>
      </w:r>
      <w:r w:rsidR="00FA4953" w:rsidRPr="001A0B66">
        <w:rPr>
          <w:rFonts w:ascii="FrankRuehl" w:hAnsi="FrankRuehl" w:cs="FrankRuehl"/>
          <w:sz w:val="28"/>
          <w:szCs w:val="28"/>
          <w:rtl/>
        </w:rPr>
        <w:t xml:space="preserve"> </w:t>
      </w:r>
      <w:r w:rsidRPr="001A0B66">
        <w:rPr>
          <w:rFonts w:ascii="FrankRuehl" w:hAnsi="FrankRuehl" w:cs="FrankRuehl"/>
          <w:sz w:val="28"/>
          <w:szCs w:val="28"/>
          <w:rtl/>
        </w:rPr>
        <w:t xml:space="preserve">עוקפת אותם </w:t>
      </w:r>
      <w:r w:rsidR="00FA4953" w:rsidRPr="001A0B66">
        <w:rPr>
          <w:rFonts w:ascii="FrankRuehl" w:hAnsi="FrankRuehl" w:cs="FrankRuehl"/>
          <w:sz w:val="28"/>
          <w:szCs w:val="28"/>
          <w:rtl/>
        </w:rPr>
        <w:t>ו</w:t>
      </w:r>
      <w:r w:rsidR="00B25CAF" w:rsidRPr="001A0B66">
        <w:rPr>
          <w:rFonts w:ascii="FrankRuehl" w:hAnsi="FrankRuehl" w:cs="FrankRuehl"/>
          <w:sz w:val="28"/>
          <w:szCs w:val="28"/>
          <w:rtl/>
        </w:rPr>
        <w:t xml:space="preserve">עושה </w:t>
      </w:r>
      <w:r w:rsidR="00FA4953" w:rsidRPr="001A0B66">
        <w:rPr>
          <w:rFonts w:ascii="FrankRuehl" w:hAnsi="FrankRuehl" w:cs="FrankRuehl"/>
          <w:sz w:val="28"/>
          <w:szCs w:val="28"/>
          <w:rtl/>
        </w:rPr>
        <w:t>כן</w:t>
      </w:r>
      <w:r w:rsidR="00B25CAF" w:rsidRPr="001A0B66">
        <w:rPr>
          <w:rFonts w:ascii="FrankRuehl" w:hAnsi="FrankRuehl" w:cs="FrankRuehl"/>
          <w:sz w:val="28"/>
          <w:szCs w:val="28"/>
          <w:rtl/>
        </w:rPr>
        <w:t xml:space="preserve"> באופן שיטתי ומקיף</w:t>
      </w:r>
      <w:bookmarkStart w:id="19" w:name="_Ref52994258"/>
      <w:r w:rsidR="00BF241F" w:rsidRPr="001A0B66">
        <w:rPr>
          <w:rStyle w:val="FootnoteReference"/>
          <w:rFonts w:ascii="FrankRuehl" w:hAnsi="FrankRuehl" w:cs="FrankRuehl"/>
          <w:sz w:val="28"/>
          <w:szCs w:val="28"/>
          <w:rtl/>
        </w:rPr>
        <w:footnoteReference w:id="9"/>
      </w:r>
      <w:bookmarkEnd w:id="19"/>
      <w:r w:rsidR="00EC321A" w:rsidRPr="001A0B66">
        <w:rPr>
          <w:rFonts w:ascii="FrankRuehl" w:hAnsi="FrankRuehl" w:cs="FrankRuehl"/>
          <w:sz w:val="28"/>
          <w:szCs w:val="28"/>
          <w:rtl/>
        </w:rPr>
        <w:t xml:space="preserve"> –</w:t>
      </w:r>
      <w:r w:rsidR="00602094" w:rsidRPr="001A0B66">
        <w:rPr>
          <w:rFonts w:ascii="FrankRuehl" w:hAnsi="FrankRuehl" w:cs="FrankRuehl"/>
          <w:sz w:val="28"/>
          <w:szCs w:val="28"/>
          <w:rtl/>
        </w:rPr>
        <w:t xml:space="preserve"> </w:t>
      </w:r>
      <w:r w:rsidR="009860A0" w:rsidRPr="001A0B66">
        <w:rPr>
          <w:rFonts w:ascii="FrankRuehl" w:hAnsi="FrankRuehl" w:cs="FrankRuehl"/>
          <w:sz w:val="28"/>
          <w:szCs w:val="28"/>
          <w:rtl/>
        </w:rPr>
        <w:t>בתוך כך</w:t>
      </w:r>
      <w:r w:rsidR="00A94ACB" w:rsidRPr="001A0B66">
        <w:rPr>
          <w:rFonts w:ascii="FrankRuehl" w:hAnsi="FrankRuehl" w:cs="FrankRuehl"/>
          <w:sz w:val="28"/>
          <w:szCs w:val="28"/>
          <w:rtl/>
        </w:rPr>
        <w:t xml:space="preserve">, </w:t>
      </w:r>
      <w:r w:rsidR="00602094" w:rsidRPr="001A0B66">
        <w:rPr>
          <w:rFonts w:ascii="FrankRuehl" w:hAnsi="FrankRuehl" w:cs="FrankRuehl"/>
          <w:sz w:val="28"/>
          <w:szCs w:val="28"/>
          <w:rtl/>
        </w:rPr>
        <w:t xml:space="preserve">מדי שנה נעצרים </w:t>
      </w:r>
      <w:r w:rsidR="00E508BA" w:rsidRPr="001A0B66">
        <w:rPr>
          <w:rFonts w:ascii="FrankRuehl" w:hAnsi="FrankRuehl" w:cs="FrankRuehl"/>
          <w:sz w:val="28"/>
          <w:szCs w:val="28"/>
          <w:rtl/>
        </w:rPr>
        <w:t xml:space="preserve">על ידי </w:t>
      </w:r>
      <w:r w:rsidR="00602094" w:rsidRPr="001A0B66">
        <w:rPr>
          <w:rFonts w:ascii="FrankRuehl" w:hAnsi="FrankRuehl" w:cs="FrankRuehl"/>
          <w:sz w:val="28"/>
          <w:szCs w:val="28"/>
          <w:rtl/>
        </w:rPr>
        <w:t>ישראל מאות אנשים במעצר מנהלי לתקופות ממושכות.</w:t>
      </w:r>
      <w:bookmarkStart w:id="20" w:name="_Ref53027519"/>
      <w:r w:rsidR="00A8197E" w:rsidRPr="001A0B66">
        <w:rPr>
          <w:rStyle w:val="FootnoteReference"/>
          <w:rFonts w:ascii="FrankRuehl" w:hAnsi="FrankRuehl" w:cs="FrankRuehl"/>
          <w:sz w:val="28"/>
          <w:szCs w:val="28"/>
          <w:rtl/>
        </w:rPr>
        <w:footnoteReference w:id="10"/>
      </w:r>
      <w:bookmarkEnd w:id="20"/>
      <w:r w:rsidR="00D514CA" w:rsidRPr="001A0B66">
        <w:rPr>
          <w:rFonts w:ascii="FrankRuehl" w:hAnsi="FrankRuehl" w:cs="FrankRuehl"/>
          <w:sz w:val="28"/>
          <w:szCs w:val="28"/>
          <w:rtl/>
        </w:rPr>
        <w:t xml:space="preserve"> </w:t>
      </w:r>
    </w:p>
    <w:p w14:paraId="6FF047A7" w14:textId="77777777" w:rsidR="00792FF1" w:rsidRPr="00AC516F" w:rsidRDefault="00D04D95" w:rsidP="00BF2A23">
      <w:pPr>
        <w:pStyle w:val="a0"/>
        <w:spacing w:line="276" w:lineRule="auto"/>
        <w:rPr>
          <w:rFonts w:ascii="FrankRuehl" w:hAnsi="FrankRuehl" w:cs="FrankRuehl"/>
          <w:sz w:val="28"/>
          <w:szCs w:val="28"/>
          <w:rtl/>
        </w:rPr>
      </w:pPr>
      <w:r w:rsidRPr="00AC516F">
        <w:rPr>
          <w:rFonts w:ascii="FrankRuehl" w:hAnsi="FrankRuehl" w:cs="FrankRuehl"/>
          <w:sz w:val="28"/>
          <w:szCs w:val="28"/>
          <w:rtl/>
        </w:rPr>
        <w:t>ה</w:t>
      </w:r>
      <w:r w:rsidR="006C4BD4" w:rsidRPr="00AC516F">
        <w:rPr>
          <w:rFonts w:ascii="FrankRuehl" w:hAnsi="FrankRuehl" w:cs="FrankRuehl"/>
          <w:sz w:val="28"/>
          <w:szCs w:val="28"/>
          <w:rtl/>
        </w:rPr>
        <w:t>צידוקים לסמכויות החירום ולראיות החסויות שבבסיסן</w:t>
      </w:r>
      <w:r w:rsidR="004147A0" w:rsidRPr="00AC516F">
        <w:rPr>
          <w:rFonts w:ascii="FrankRuehl" w:hAnsi="FrankRuehl" w:cs="FrankRuehl"/>
          <w:sz w:val="28"/>
          <w:szCs w:val="28"/>
          <w:rtl/>
        </w:rPr>
        <w:t xml:space="preserve"> מוכרים. </w:t>
      </w:r>
      <w:r w:rsidR="00110EE7" w:rsidRPr="00AC516F">
        <w:rPr>
          <w:rFonts w:ascii="FrankRuehl" w:hAnsi="FrankRuehl" w:cs="FrankRuehl"/>
          <w:sz w:val="28"/>
          <w:szCs w:val="28"/>
          <w:rtl/>
        </w:rPr>
        <w:t>המרכזי שבהם הוא "</w:t>
      </w:r>
      <w:r w:rsidR="00873BF5" w:rsidRPr="00AC516F">
        <w:rPr>
          <w:rFonts w:ascii="FrankRuehl" w:hAnsi="FrankRuehl" w:cs="FrankRuehl"/>
          <w:sz w:val="28"/>
          <w:szCs w:val="28"/>
          <w:rtl/>
        </w:rPr>
        <w:t>ה</w:t>
      </w:r>
      <w:r w:rsidR="00EC321A" w:rsidRPr="00AC516F">
        <w:rPr>
          <w:rFonts w:ascii="FrankRuehl" w:hAnsi="FrankRuehl" w:cs="FrankRuehl"/>
          <w:sz w:val="28"/>
          <w:szCs w:val="28"/>
          <w:rtl/>
        </w:rPr>
        <w:t>י</w:t>
      </w:r>
      <w:r w:rsidR="00873BF5" w:rsidRPr="00AC516F">
        <w:rPr>
          <w:rFonts w:ascii="FrankRuehl" w:hAnsi="FrankRuehl" w:cs="FrankRuehl"/>
          <w:sz w:val="28"/>
          <w:szCs w:val="28"/>
          <w:rtl/>
        </w:rPr>
        <w:t>עדר ברירה</w:t>
      </w:r>
      <w:r w:rsidR="00110EE7" w:rsidRPr="00AC516F">
        <w:rPr>
          <w:rFonts w:ascii="FrankRuehl" w:hAnsi="FrankRuehl" w:cs="FrankRuehl"/>
          <w:sz w:val="28"/>
          <w:szCs w:val="28"/>
          <w:rtl/>
        </w:rPr>
        <w:t>"</w:t>
      </w:r>
      <w:r w:rsidR="00E508BA" w:rsidRPr="00AC516F">
        <w:rPr>
          <w:rFonts w:ascii="FrankRuehl" w:hAnsi="FrankRuehl" w:cs="FrankRuehl"/>
          <w:sz w:val="28"/>
          <w:szCs w:val="28"/>
          <w:rtl/>
        </w:rPr>
        <w:t>:</w:t>
      </w:r>
      <w:r w:rsidR="00873BF5" w:rsidRPr="00AC516F">
        <w:rPr>
          <w:rFonts w:ascii="FrankRuehl" w:hAnsi="FrankRuehl" w:cs="FrankRuehl"/>
          <w:sz w:val="28"/>
          <w:szCs w:val="28"/>
          <w:rtl/>
        </w:rPr>
        <w:t xml:space="preserve"> </w:t>
      </w:r>
      <w:r w:rsidR="00110EE7" w:rsidRPr="00AC516F">
        <w:rPr>
          <w:rFonts w:ascii="FrankRuehl" w:hAnsi="FrankRuehl" w:cs="FrankRuehl"/>
          <w:sz w:val="28"/>
          <w:szCs w:val="28"/>
          <w:rtl/>
        </w:rPr>
        <w:t xml:space="preserve">הצורך </w:t>
      </w:r>
      <w:r w:rsidR="00FA4953" w:rsidRPr="00AC516F">
        <w:rPr>
          <w:rFonts w:ascii="FrankRuehl" w:hAnsi="FrankRuehl" w:cs="FrankRuehl"/>
          <w:sz w:val="28"/>
          <w:szCs w:val="28"/>
          <w:rtl/>
        </w:rPr>
        <w:t xml:space="preserve">להתמודד עם סכנות ביטחוניות </w:t>
      </w:r>
      <w:r w:rsidR="00EC321A" w:rsidRPr="00AC516F">
        <w:rPr>
          <w:rFonts w:ascii="FrankRuehl" w:hAnsi="FrankRuehl" w:cs="FrankRuehl"/>
          <w:sz w:val="28"/>
          <w:szCs w:val="28"/>
          <w:rtl/>
        </w:rPr>
        <w:t xml:space="preserve">ובד בבד להגן </w:t>
      </w:r>
      <w:r w:rsidR="00110EE7" w:rsidRPr="00AC516F">
        <w:rPr>
          <w:rFonts w:ascii="FrankRuehl" w:hAnsi="FrankRuehl" w:cs="FrankRuehl"/>
          <w:sz w:val="28"/>
          <w:szCs w:val="28"/>
          <w:rtl/>
        </w:rPr>
        <w:t xml:space="preserve">על מקורות מידע אנושיים </w:t>
      </w:r>
      <w:r w:rsidR="00EC321A" w:rsidRPr="00AC516F">
        <w:rPr>
          <w:rFonts w:ascii="FrankRuehl" w:hAnsi="FrankRuehl" w:cs="FrankRuehl"/>
          <w:sz w:val="28"/>
          <w:szCs w:val="28"/>
          <w:rtl/>
        </w:rPr>
        <w:t>שיהיו נתונים ל</w:t>
      </w:r>
      <w:r w:rsidR="00873BF5" w:rsidRPr="00AC516F">
        <w:rPr>
          <w:rFonts w:ascii="FrankRuehl" w:hAnsi="FrankRuehl" w:cs="FrankRuehl"/>
          <w:sz w:val="28"/>
          <w:szCs w:val="28"/>
          <w:rtl/>
        </w:rPr>
        <w:t xml:space="preserve">סכנה ודאית אם ייחשפו; </w:t>
      </w:r>
      <w:r w:rsidR="00EC321A" w:rsidRPr="00AC516F">
        <w:rPr>
          <w:rFonts w:ascii="FrankRuehl" w:hAnsi="FrankRuehl" w:cs="FrankRuehl"/>
          <w:sz w:val="28"/>
          <w:szCs w:val="28"/>
          <w:rtl/>
        </w:rPr>
        <w:t>ה</w:t>
      </w:r>
      <w:r w:rsidR="00110EE7" w:rsidRPr="00AC516F">
        <w:rPr>
          <w:rFonts w:ascii="FrankRuehl" w:hAnsi="FrankRuehl" w:cs="FrankRuehl"/>
          <w:sz w:val="28"/>
          <w:szCs w:val="28"/>
          <w:rtl/>
        </w:rPr>
        <w:t xml:space="preserve">צורך להסתיר את </w:t>
      </w:r>
      <w:r w:rsidR="00873BF5" w:rsidRPr="00AC516F">
        <w:rPr>
          <w:rFonts w:ascii="FrankRuehl" w:hAnsi="FrankRuehl" w:cs="FrankRuehl"/>
          <w:sz w:val="28"/>
          <w:szCs w:val="28"/>
          <w:rtl/>
        </w:rPr>
        <w:t xml:space="preserve">עצם ההתחקות אחר אדם; </w:t>
      </w:r>
      <w:r w:rsidR="00EC321A" w:rsidRPr="00AC516F">
        <w:rPr>
          <w:rFonts w:ascii="FrankRuehl" w:hAnsi="FrankRuehl" w:cs="FrankRuehl"/>
          <w:sz w:val="28"/>
          <w:szCs w:val="28"/>
          <w:rtl/>
        </w:rPr>
        <w:t>ה</w:t>
      </w:r>
      <w:r w:rsidR="00110EE7" w:rsidRPr="00AC516F">
        <w:rPr>
          <w:rFonts w:ascii="FrankRuehl" w:hAnsi="FrankRuehl" w:cs="FrankRuehl"/>
          <w:sz w:val="28"/>
          <w:szCs w:val="28"/>
          <w:rtl/>
        </w:rPr>
        <w:t xml:space="preserve">צורך </w:t>
      </w:r>
      <w:r w:rsidR="00873BF5" w:rsidRPr="00AC516F">
        <w:rPr>
          <w:rFonts w:ascii="FrankRuehl" w:hAnsi="FrankRuehl" w:cs="FrankRuehl"/>
          <w:sz w:val="28"/>
          <w:szCs w:val="28"/>
          <w:rtl/>
        </w:rPr>
        <w:t xml:space="preserve">להסתיר אמצעי התחקות </w:t>
      </w:r>
      <w:r w:rsidR="00AE2B8B" w:rsidRPr="00AC516F">
        <w:rPr>
          <w:rFonts w:ascii="FrankRuehl" w:hAnsi="FrankRuehl" w:cs="FrankRuehl"/>
          <w:sz w:val="28"/>
          <w:szCs w:val="28"/>
          <w:rtl/>
        </w:rPr>
        <w:t>מתוחכמים</w:t>
      </w:r>
      <w:r w:rsidR="00873BF5" w:rsidRPr="00AC516F">
        <w:rPr>
          <w:rFonts w:ascii="FrankRuehl" w:hAnsi="FrankRuehl" w:cs="FrankRuehl"/>
          <w:sz w:val="28"/>
          <w:szCs w:val="28"/>
          <w:rtl/>
        </w:rPr>
        <w:t xml:space="preserve"> וכאלה שהטמנתם הייתה כרוכה בסיכון רב</w:t>
      </w:r>
      <w:r w:rsidR="006C4BD4" w:rsidRPr="00AC516F">
        <w:rPr>
          <w:rFonts w:ascii="FrankRuehl" w:hAnsi="FrankRuehl" w:cs="FrankRuehl"/>
          <w:sz w:val="28"/>
          <w:szCs w:val="28"/>
          <w:rtl/>
        </w:rPr>
        <w:t>; הצורך בתגובה מיידית</w:t>
      </w:r>
      <w:r w:rsidR="00873BF5" w:rsidRPr="00AC516F">
        <w:rPr>
          <w:rFonts w:ascii="FrankRuehl" w:hAnsi="FrankRuehl" w:cs="FrankRuehl"/>
          <w:sz w:val="28"/>
          <w:szCs w:val="28"/>
          <w:rtl/>
        </w:rPr>
        <w:t xml:space="preserve"> </w:t>
      </w:r>
      <w:r w:rsidR="00FD2A2F" w:rsidRPr="00AC516F">
        <w:rPr>
          <w:rFonts w:ascii="FrankRuehl" w:hAnsi="FrankRuehl" w:cs="FrankRuehl"/>
          <w:sz w:val="28"/>
          <w:szCs w:val="28"/>
          <w:rtl/>
        </w:rPr>
        <w:t>לסכנה גד</w:t>
      </w:r>
      <w:r w:rsidR="00B91418" w:rsidRPr="00AC516F">
        <w:rPr>
          <w:rFonts w:ascii="FrankRuehl" w:hAnsi="FrankRuehl" w:cs="FrankRuehl"/>
          <w:sz w:val="28"/>
          <w:szCs w:val="28"/>
          <w:rtl/>
        </w:rPr>
        <w:t>ו</w:t>
      </w:r>
      <w:r w:rsidR="00FD2A2F" w:rsidRPr="00AC516F">
        <w:rPr>
          <w:rFonts w:ascii="FrankRuehl" w:hAnsi="FrankRuehl" w:cs="FrankRuehl"/>
          <w:sz w:val="28"/>
          <w:szCs w:val="28"/>
          <w:rtl/>
        </w:rPr>
        <w:t xml:space="preserve">לה </w:t>
      </w:r>
      <w:r w:rsidR="00873BF5" w:rsidRPr="00AC516F">
        <w:rPr>
          <w:rFonts w:ascii="FrankRuehl" w:hAnsi="FrankRuehl" w:cs="FrankRuehl"/>
          <w:sz w:val="28"/>
          <w:szCs w:val="28"/>
          <w:rtl/>
        </w:rPr>
        <w:t xml:space="preserve">וכדומה. </w:t>
      </w:r>
      <w:r w:rsidRPr="00AC516F">
        <w:rPr>
          <w:rFonts w:ascii="FrankRuehl" w:hAnsi="FrankRuehl" w:cs="FrankRuehl"/>
          <w:sz w:val="28"/>
          <w:szCs w:val="28"/>
          <w:rtl/>
        </w:rPr>
        <w:t xml:space="preserve">הדין הפלילי מאפשר </w:t>
      </w:r>
      <w:r w:rsidR="004147A0" w:rsidRPr="00AC516F">
        <w:rPr>
          <w:rFonts w:ascii="FrankRuehl" w:hAnsi="FrankRuehl" w:cs="FrankRuehl"/>
          <w:sz w:val="28"/>
          <w:szCs w:val="28"/>
          <w:rtl/>
        </w:rPr>
        <w:t xml:space="preserve">אמנם </w:t>
      </w:r>
      <w:r w:rsidRPr="00AC516F">
        <w:rPr>
          <w:rFonts w:ascii="FrankRuehl" w:hAnsi="FrankRuehl" w:cs="FrankRuehl"/>
          <w:sz w:val="28"/>
          <w:szCs w:val="28"/>
          <w:rtl/>
        </w:rPr>
        <w:t xml:space="preserve">להגיב לסכנות </w:t>
      </w:r>
      <w:r w:rsidR="004147A0" w:rsidRPr="00AC516F">
        <w:rPr>
          <w:rFonts w:ascii="FrankRuehl" w:hAnsi="FrankRuehl" w:cs="FrankRuehl"/>
          <w:sz w:val="28"/>
          <w:szCs w:val="28"/>
          <w:rtl/>
        </w:rPr>
        <w:t xml:space="preserve">ביטחוניות </w:t>
      </w:r>
      <w:r w:rsidRPr="00AC516F">
        <w:rPr>
          <w:rFonts w:ascii="FrankRuehl" w:hAnsi="FrankRuehl" w:cs="FrankRuehl"/>
          <w:sz w:val="28"/>
          <w:szCs w:val="28"/>
          <w:rtl/>
        </w:rPr>
        <w:t>גם בשלב ההכנה, הניסיון, החברות בקבוצה או בארגון, קשירת הקשר וכדומה</w:t>
      </w:r>
      <w:r w:rsidR="004147A0" w:rsidRPr="00AC516F">
        <w:rPr>
          <w:rFonts w:ascii="FrankRuehl" w:hAnsi="FrankRuehl" w:cs="FrankRuehl"/>
          <w:sz w:val="28"/>
          <w:szCs w:val="28"/>
          <w:rtl/>
        </w:rPr>
        <w:t xml:space="preserve">, ואולם </w:t>
      </w:r>
      <w:r w:rsidR="00853B01" w:rsidRPr="00AC516F">
        <w:rPr>
          <w:rFonts w:ascii="FrankRuehl" w:hAnsi="FrankRuehl" w:cs="FrankRuehl"/>
          <w:sz w:val="28"/>
          <w:szCs w:val="28"/>
          <w:rtl/>
        </w:rPr>
        <w:t xml:space="preserve">– כך גורסת המדינה – אין </w:t>
      </w:r>
      <w:r w:rsidR="001E239A" w:rsidRPr="00AC516F">
        <w:rPr>
          <w:rFonts w:ascii="FrankRuehl" w:hAnsi="FrankRuehl" w:cs="FrankRuehl"/>
          <w:sz w:val="28"/>
          <w:szCs w:val="28"/>
          <w:rtl/>
        </w:rPr>
        <w:t xml:space="preserve">לה מנוס לעיתים מלפנות </w:t>
      </w:r>
      <w:r w:rsidRPr="00AC516F">
        <w:rPr>
          <w:rFonts w:ascii="FrankRuehl" w:hAnsi="FrankRuehl" w:cs="FrankRuehl"/>
          <w:sz w:val="28"/>
          <w:szCs w:val="28"/>
          <w:rtl/>
        </w:rPr>
        <w:t xml:space="preserve">לנתיב </w:t>
      </w:r>
      <w:proofErr w:type="spellStart"/>
      <w:r w:rsidRPr="00AC516F">
        <w:rPr>
          <w:rFonts w:ascii="FrankRuehl" w:hAnsi="FrankRuehl" w:cs="FrankRuehl"/>
          <w:sz w:val="28"/>
          <w:szCs w:val="28"/>
          <w:rtl/>
        </w:rPr>
        <w:t>המינהלי</w:t>
      </w:r>
      <w:proofErr w:type="spellEnd"/>
      <w:r w:rsidRPr="00AC516F">
        <w:rPr>
          <w:rFonts w:ascii="FrankRuehl" w:hAnsi="FrankRuehl" w:cs="FrankRuehl"/>
          <w:sz w:val="28"/>
          <w:szCs w:val="28"/>
          <w:rtl/>
        </w:rPr>
        <w:t xml:space="preserve">, של סמכויות החירום, </w:t>
      </w:r>
      <w:r w:rsidR="001E239A" w:rsidRPr="00AC516F">
        <w:rPr>
          <w:rFonts w:ascii="FrankRuehl" w:hAnsi="FrankRuehl" w:cs="FrankRuehl"/>
          <w:sz w:val="28"/>
          <w:szCs w:val="28"/>
          <w:rtl/>
        </w:rPr>
        <w:t xml:space="preserve">זאת </w:t>
      </w:r>
      <w:r w:rsidRPr="00AC516F">
        <w:rPr>
          <w:rFonts w:ascii="FrankRuehl" w:hAnsi="FrankRuehl" w:cs="FrankRuehl"/>
          <w:sz w:val="28"/>
          <w:szCs w:val="28"/>
          <w:rtl/>
        </w:rPr>
        <w:t>משום ש</w:t>
      </w:r>
      <w:r w:rsidR="001E239A" w:rsidRPr="00AC516F">
        <w:rPr>
          <w:rFonts w:ascii="FrankRuehl" w:hAnsi="FrankRuehl" w:cs="FrankRuehl"/>
          <w:sz w:val="28"/>
          <w:szCs w:val="28"/>
          <w:rtl/>
        </w:rPr>
        <w:t>אין היא יכ</w:t>
      </w:r>
      <w:r w:rsidRPr="00AC516F">
        <w:rPr>
          <w:rFonts w:ascii="FrankRuehl" w:hAnsi="FrankRuehl" w:cs="FrankRuehl"/>
          <w:sz w:val="28"/>
          <w:szCs w:val="28"/>
          <w:rtl/>
        </w:rPr>
        <w:t>ולה לחשוף את הראיות שבידה</w:t>
      </w:r>
      <w:r w:rsidR="00853B01" w:rsidRPr="00AC516F">
        <w:rPr>
          <w:rFonts w:ascii="FrankRuehl" w:hAnsi="FrankRuehl" w:cs="FrankRuehl"/>
          <w:sz w:val="28"/>
          <w:szCs w:val="28"/>
          <w:rtl/>
        </w:rPr>
        <w:t xml:space="preserve"> כפי שהיא מצווה בהליך ה</w:t>
      </w:r>
      <w:r w:rsidRPr="00AC516F">
        <w:rPr>
          <w:rFonts w:ascii="FrankRuehl" w:hAnsi="FrankRuehl" w:cs="FrankRuehl"/>
          <w:sz w:val="28"/>
          <w:szCs w:val="28"/>
          <w:rtl/>
        </w:rPr>
        <w:t>פלילי</w:t>
      </w:r>
      <w:r w:rsidR="001F19B2" w:rsidRPr="00AC516F">
        <w:rPr>
          <w:rFonts w:ascii="FrankRuehl" w:hAnsi="FrankRuehl" w:cs="FrankRuehl"/>
          <w:sz w:val="28"/>
          <w:szCs w:val="28"/>
          <w:rtl/>
        </w:rPr>
        <w:t xml:space="preserve"> או שהיא נשענת על ראיות שאינן קבילות</w:t>
      </w:r>
      <w:r w:rsidRPr="00AC516F">
        <w:rPr>
          <w:rFonts w:ascii="FrankRuehl" w:hAnsi="FrankRuehl" w:cs="FrankRuehl"/>
          <w:sz w:val="28"/>
          <w:szCs w:val="28"/>
          <w:rtl/>
        </w:rPr>
        <w:t>.</w:t>
      </w:r>
      <w:r w:rsidR="00BF2A23" w:rsidRPr="00BF2A23">
        <w:rPr>
          <w:rFonts w:ascii="FrankRuehl" w:hAnsi="FrankRuehl" w:cs="FrankRuehl"/>
          <w:sz w:val="28"/>
          <w:szCs w:val="28"/>
          <w:vertAlign w:val="superscript"/>
          <w:rtl/>
        </w:rPr>
        <w:footnoteReference w:id="11"/>
      </w:r>
    </w:p>
    <w:p w14:paraId="6FF9C0B6" w14:textId="77777777" w:rsidR="00B41565" w:rsidRPr="001A0B66" w:rsidRDefault="00853B01"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ההתנגדויות לסמכויות החירום ולראיות החסויות שבבסיסן מוכרות אף הן</w:t>
      </w:r>
      <w:r w:rsidR="009531E1">
        <w:rPr>
          <w:rFonts w:ascii="FrankRuehl" w:hAnsi="FrankRuehl" w:cs="FrankRuehl"/>
          <w:sz w:val="28"/>
          <w:szCs w:val="28"/>
          <w:rtl/>
        </w:rPr>
        <w:t xml:space="preserve"> </w:t>
      </w:r>
      <w:r w:rsidR="009531E1" w:rsidRPr="009474AC">
        <w:rPr>
          <w:rFonts w:ascii="FrankRuehl" w:hAnsi="FrankRuehl" w:cs="FrankRuehl"/>
          <w:sz w:val="28"/>
          <w:szCs w:val="28"/>
          <w:rtl/>
        </w:rPr>
        <w:t>והן חזקות מאד</w:t>
      </w:r>
      <w:r w:rsidRPr="009474AC">
        <w:rPr>
          <w:rFonts w:ascii="FrankRuehl" w:hAnsi="FrankRuehl" w:cs="FrankRuehl"/>
          <w:sz w:val="28"/>
          <w:szCs w:val="28"/>
          <w:rtl/>
        </w:rPr>
        <w:t>. לב הדברים היא ה</w:t>
      </w:r>
      <w:r w:rsidR="00A94ACB" w:rsidRPr="009474AC">
        <w:rPr>
          <w:rFonts w:ascii="FrankRuehl" w:hAnsi="FrankRuehl" w:cs="FrankRuehl"/>
          <w:sz w:val="28"/>
          <w:szCs w:val="28"/>
          <w:rtl/>
        </w:rPr>
        <w:t xml:space="preserve">פגיעה </w:t>
      </w:r>
      <w:r w:rsidRPr="009474AC">
        <w:rPr>
          <w:rFonts w:ascii="FrankRuehl" w:hAnsi="FrankRuehl" w:cs="FrankRuehl"/>
          <w:sz w:val="28"/>
          <w:szCs w:val="28"/>
          <w:rtl/>
        </w:rPr>
        <w:t>ה</w:t>
      </w:r>
      <w:r w:rsidR="00A94ACB" w:rsidRPr="009474AC">
        <w:rPr>
          <w:rFonts w:ascii="FrankRuehl" w:hAnsi="FrankRuehl" w:cs="FrankRuehl"/>
          <w:sz w:val="28"/>
          <w:szCs w:val="28"/>
          <w:rtl/>
        </w:rPr>
        <w:t>קשה, לעית</w:t>
      </w:r>
      <w:r w:rsidRPr="009474AC">
        <w:rPr>
          <w:rFonts w:ascii="FrankRuehl" w:hAnsi="FrankRuehl" w:cs="FrankRuehl"/>
          <w:sz w:val="28"/>
          <w:szCs w:val="28"/>
          <w:rtl/>
        </w:rPr>
        <w:t>י</w:t>
      </w:r>
      <w:r w:rsidR="00A94ACB" w:rsidRPr="009474AC">
        <w:rPr>
          <w:rFonts w:ascii="FrankRuehl" w:hAnsi="FrankRuehl" w:cs="FrankRuehl"/>
          <w:sz w:val="28"/>
          <w:szCs w:val="28"/>
          <w:rtl/>
        </w:rPr>
        <w:t xml:space="preserve">ם </w:t>
      </w:r>
      <w:r w:rsidRPr="009474AC">
        <w:rPr>
          <w:rFonts w:ascii="FrankRuehl" w:hAnsi="FrankRuehl" w:cs="FrankRuehl"/>
          <w:sz w:val="28"/>
          <w:szCs w:val="28"/>
          <w:rtl/>
        </w:rPr>
        <w:t>ה</w:t>
      </w:r>
      <w:r w:rsidR="00A94ACB" w:rsidRPr="009474AC">
        <w:rPr>
          <w:rFonts w:ascii="FrankRuehl" w:hAnsi="FrankRuehl" w:cs="FrankRuehl"/>
          <w:sz w:val="28"/>
          <w:szCs w:val="28"/>
          <w:rtl/>
        </w:rPr>
        <w:t>אנושה, במגוון של חירויות</w:t>
      </w:r>
      <w:r w:rsidR="00555716" w:rsidRPr="009474AC">
        <w:rPr>
          <w:rFonts w:ascii="FrankRuehl" w:hAnsi="FrankRuehl" w:cs="FrankRuehl"/>
          <w:sz w:val="28"/>
          <w:szCs w:val="28"/>
          <w:rtl/>
        </w:rPr>
        <w:t xml:space="preserve">, </w:t>
      </w:r>
      <w:r w:rsidRPr="009474AC">
        <w:rPr>
          <w:rFonts w:ascii="FrankRuehl" w:hAnsi="FrankRuehl" w:cs="FrankRuehl"/>
          <w:sz w:val="28"/>
          <w:szCs w:val="28"/>
          <w:rtl/>
        </w:rPr>
        <w:t>ו</w:t>
      </w:r>
      <w:r w:rsidRPr="001A0B66">
        <w:rPr>
          <w:rFonts w:ascii="FrankRuehl" w:hAnsi="FrankRuehl" w:cs="FrankRuehl"/>
          <w:sz w:val="28"/>
          <w:szCs w:val="28"/>
          <w:rtl/>
        </w:rPr>
        <w:t>בכללן ה</w:t>
      </w:r>
      <w:r w:rsidR="00B41565" w:rsidRPr="001A0B66">
        <w:rPr>
          <w:rFonts w:ascii="FrankRuehl" w:hAnsi="FrankRuehl" w:cs="FrankRuehl"/>
          <w:sz w:val="28"/>
          <w:szCs w:val="28"/>
          <w:rtl/>
        </w:rPr>
        <w:t>זכו</w:t>
      </w:r>
      <w:r w:rsidR="00B9637B" w:rsidRPr="001A0B66">
        <w:rPr>
          <w:rFonts w:ascii="FrankRuehl" w:hAnsi="FrankRuehl" w:cs="FrankRuehl"/>
          <w:sz w:val="28"/>
          <w:szCs w:val="28"/>
          <w:rtl/>
        </w:rPr>
        <w:t>ת ל</w:t>
      </w:r>
      <w:r w:rsidR="00B41565" w:rsidRPr="001A0B66">
        <w:rPr>
          <w:rFonts w:ascii="FrankRuehl" w:hAnsi="FrankRuehl" w:cs="FrankRuehl"/>
          <w:sz w:val="28"/>
          <w:szCs w:val="28"/>
          <w:rtl/>
        </w:rPr>
        <w:t xml:space="preserve">הליך </w:t>
      </w:r>
      <w:r w:rsidR="00B41565" w:rsidRPr="001A0B66">
        <w:rPr>
          <w:rFonts w:ascii="FrankRuehl" w:hAnsi="FrankRuehl" w:cs="FrankRuehl"/>
          <w:sz w:val="28"/>
          <w:szCs w:val="28"/>
          <w:rtl/>
        </w:rPr>
        <w:lastRenderedPageBreak/>
        <w:t>הוגן</w:t>
      </w:r>
      <w:r w:rsidRPr="001A0B66">
        <w:rPr>
          <w:rFonts w:ascii="FrankRuehl" w:hAnsi="FrankRuehl" w:cs="FrankRuehl"/>
          <w:sz w:val="28"/>
          <w:szCs w:val="28"/>
          <w:rtl/>
        </w:rPr>
        <w:t xml:space="preserve">, שהרי </w:t>
      </w:r>
      <w:r w:rsidR="004941DA" w:rsidRPr="001A0B66">
        <w:rPr>
          <w:rFonts w:ascii="FrankRuehl" w:hAnsi="FrankRuehl" w:cs="FrankRuehl"/>
          <w:sz w:val="28"/>
          <w:szCs w:val="28"/>
          <w:rtl/>
        </w:rPr>
        <w:t xml:space="preserve">הפגיעה נעשית על ידי רשות </w:t>
      </w:r>
      <w:proofErr w:type="spellStart"/>
      <w:r w:rsidR="004941DA" w:rsidRPr="001A0B66">
        <w:rPr>
          <w:rFonts w:ascii="FrankRuehl" w:hAnsi="FrankRuehl" w:cs="FrankRuehl"/>
          <w:sz w:val="28"/>
          <w:szCs w:val="28"/>
          <w:rtl/>
        </w:rPr>
        <w:t>מינהלית</w:t>
      </w:r>
      <w:proofErr w:type="spellEnd"/>
      <w:r w:rsidR="004941DA" w:rsidRPr="001A0B66">
        <w:rPr>
          <w:rFonts w:ascii="FrankRuehl" w:hAnsi="FrankRuehl" w:cs="FrankRuehl"/>
          <w:sz w:val="28"/>
          <w:szCs w:val="28"/>
          <w:rtl/>
        </w:rPr>
        <w:t xml:space="preserve"> להבדיל משיפוטית ו</w:t>
      </w:r>
      <w:r w:rsidRPr="001A0B66">
        <w:rPr>
          <w:rFonts w:ascii="FrankRuehl" w:hAnsi="FrankRuehl" w:cs="FrankRuehl"/>
          <w:sz w:val="28"/>
          <w:szCs w:val="28"/>
          <w:rtl/>
        </w:rPr>
        <w:t xml:space="preserve">ראיותיה חסויות כמעט כולן. </w:t>
      </w:r>
      <w:r w:rsidR="00FD2A2F" w:rsidRPr="001A0B66">
        <w:rPr>
          <w:rFonts w:ascii="FrankRuehl" w:hAnsi="FrankRuehl" w:cs="FrankRuehl"/>
          <w:sz w:val="28"/>
          <w:szCs w:val="28"/>
          <w:rtl/>
        </w:rPr>
        <w:t>עוד מסבירים</w:t>
      </w:r>
      <w:r w:rsidR="00A94ACB" w:rsidRPr="001A0B66">
        <w:rPr>
          <w:rFonts w:ascii="FrankRuehl" w:hAnsi="FrankRuehl" w:cs="FrankRuehl"/>
          <w:sz w:val="28"/>
          <w:szCs w:val="28"/>
          <w:rtl/>
        </w:rPr>
        <w:t xml:space="preserve"> המתנגדים</w:t>
      </w:r>
      <w:r w:rsidR="00FD2A2F" w:rsidRPr="001A0B66">
        <w:rPr>
          <w:rFonts w:ascii="FrankRuehl" w:hAnsi="FrankRuehl" w:cs="FrankRuehl"/>
          <w:sz w:val="28"/>
          <w:szCs w:val="28"/>
          <w:rtl/>
        </w:rPr>
        <w:t>,</w:t>
      </w:r>
      <w:r w:rsidR="00D77239" w:rsidRPr="001A0B66">
        <w:rPr>
          <w:rFonts w:ascii="FrankRuehl" w:hAnsi="FrankRuehl" w:cs="FrankRuehl"/>
          <w:sz w:val="28"/>
          <w:szCs w:val="28"/>
          <w:rtl/>
        </w:rPr>
        <w:t xml:space="preserve"> כי</w:t>
      </w:r>
      <w:r w:rsidR="00B41565" w:rsidRPr="001A0B66">
        <w:rPr>
          <w:rFonts w:ascii="FrankRuehl" w:hAnsi="FrankRuehl" w:cs="FrankRuehl"/>
          <w:sz w:val="28"/>
          <w:szCs w:val="28"/>
          <w:rtl/>
        </w:rPr>
        <w:t xml:space="preserve"> </w:t>
      </w:r>
      <w:r w:rsidR="00FA3C16" w:rsidRPr="001A0B66">
        <w:rPr>
          <w:rFonts w:ascii="FrankRuehl" w:hAnsi="FrankRuehl" w:cs="FrankRuehl"/>
          <w:sz w:val="28"/>
          <w:szCs w:val="28"/>
          <w:rtl/>
        </w:rPr>
        <w:t xml:space="preserve">מעצר מנהלי אינו יכול להיחשב </w:t>
      </w:r>
      <w:r w:rsidR="004859BB" w:rsidRPr="001A0B66">
        <w:rPr>
          <w:rFonts w:ascii="FrankRuehl" w:hAnsi="FrankRuehl" w:cs="FrankRuehl"/>
          <w:sz w:val="28"/>
          <w:szCs w:val="28"/>
          <w:rtl/>
        </w:rPr>
        <w:t xml:space="preserve">לכלי </w:t>
      </w:r>
      <w:r w:rsidR="00FA3C16" w:rsidRPr="001A0B66">
        <w:rPr>
          <w:rFonts w:ascii="FrankRuehl" w:hAnsi="FrankRuehl" w:cs="FrankRuehl"/>
          <w:sz w:val="28"/>
          <w:szCs w:val="28"/>
          <w:rtl/>
        </w:rPr>
        <w:t xml:space="preserve">חריג </w:t>
      </w:r>
      <w:r w:rsidR="004859BB" w:rsidRPr="001A0B66">
        <w:rPr>
          <w:rFonts w:ascii="FrankRuehl" w:hAnsi="FrankRuehl" w:cs="FrankRuehl"/>
          <w:sz w:val="28"/>
          <w:szCs w:val="28"/>
          <w:rtl/>
        </w:rPr>
        <w:t xml:space="preserve">בשל </w:t>
      </w:r>
      <w:r w:rsidR="00FA3C16" w:rsidRPr="001A0B66">
        <w:rPr>
          <w:rFonts w:ascii="FrankRuehl" w:hAnsi="FrankRuehl" w:cs="FrankRuehl"/>
          <w:sz w:val="28"/>
          <w:szCs w:val="28"/>
          <w:rtl/>
        </w:rPr>
        <w:t xml:space="preserve">השימוש הנרחב בו </w:t>
      </w:r>
      <w:r w:rsidR="004859BB" w:rsidRPr="001A0B66">
        <w:rPr>
          <w:rFonts w:ascii="FrankRuehl" w:hAnsi="FrankRuehl" w:cs="FrankRuehl"/>
          <w:sz w:val="28"/>
          <w:szCs w:val="28"/>
          <w:rtl/>
        </w:rPr>
        <w:t xml:space="preserve">במשך </w:t>
      </w:r>
      <w:r w:rsidR="00FA3C16" w:rsidRPr="001A0B66">
        <w:rPr>
          <w:rFonts w:ascii="FrankRuehl" w:hAnsi="FrankRuehl" w:cs="FrankRuehl"/>
          <w:sz w:val="28"/>
          <w:szCs w:val="28"/>
          <w:rtl/>
        </w:rPr>
        <w:t>שנים</w:t>
      </w:r>
      <w:r w:rsidR="00D77239" w:rsidRPr="001A0B66">
        <w:rPr>
          <w:rFonts w:ascii="FrankRuehl" w:hAnsi="FrankRuehl" w:cs="FrankRuehl"/>
          <w:sz w:val="28"/>
          <w:szCs w:val="28"/>
          <w:rtl/>
        </w:rPr>
        <w:t xml:space="preserve"> ארוכות מא</w:t>
      </w:r>
      <w:r w:rsidR="00704948" w:rsidRPr="001A0B66">
        <w:rPr>
          <w:rFonts w:ascii="FrankRuehl" w:hAnsi="FrankRuehl" w:cs="FrankRuehl"/>
          <w:sz w:val="28"/>
          <w:szCs w:val="28"/>
          <w:rtl/>
        </w:rPr>
        <w:t>ו</w:t>
      </w:r>
      <w:r w:rsidR="00D77239" w:rsidRPr="001A0B66">
        <w:rPr>
          <w:rFonts w:ascii="FrankRuehl" w:hAnsi="FrankRuehl" w:cs="FrankRuehl"/>
          <w:sz w:val="28"/>
          <w:szCs w:val="28"/>
          <w:rtl/>
        </w:rPr>
        <w:t>ד</w:t>
      </w:r>
      <w:r w:rsidR="00FA3C16" w:rsidRPr="001A0B66">
        <w:rPr>
          <w:rFonts w:ascii="FrankRuehl" w:hAnsi="FrankRuehl" w:cs="FrankRuehl"/>
          <w:sz w:val="28"/>
          <w:szCs w:val="28"/>
          <w:rtl/>
        </w:rPr>
        <w:t>, ו</w:t>
      </w:r>
      <w:r w:rsidR="004859BB" w:rsidRPr="001A0B66">
        <w:rPr>
          <w:rFonts w:ascii="FrankRuehl" w:hAnsi="FrankRuehl" w:cs="FrankRuehl"/>
          <w:sz w:val="28"/>
          <w:szCs w:val="28"/>
          <w:rtl/>
        </w:rPr>
        <w:t xml:space="preserve">כי </w:t>
      </w:r>
      <w:r w:rsidR="00FA3C16" w:rsidRPr="001A0B66">
        <w:rPr>
          <w:rFonts w:ascii="FrankRuehl" w:hAnsi="FrankRuehl" w:cs="FrankRuehl"/>
          <w:sz w:val="28"/>
          <w:szCs w:val="28"/>
          <w:rtl/>
        </w:rPr>
        <w:t xml:space="preserve">הוא מאיים להשתלט ולהשחית את </w:t>
      </w:r>
      <w:r w:rsidR="00D77239" w:rsidRPr="001A0B66">
        <w:rPr>
          <w:rFonts w:ascii="FrankRuehl" w:hAnsi="FrankRuehl" w:cs="FrankRuehl"/>
          <w:sz w:val="28"/>
          <w:szCs w:val="28"/>
          <w:rtl/>
        </w:rPr>
        <w:t>"</w:t>
      </w:r>
      <w:r w:rsidR="00FA3C16" w:rsidRPr="001A0B66">
        <w:rPr>
          <w:rFonts w:ascii="FrankRuehl" w:hAnsi="FrankRuehl" w:cs="FrankRuehl"/>
          <w:sz w:val="28"/>
          <w:szCs w:val="28"/>
          <w:rtl/>
        </w:rPr>
        <w:t>הכלל</w:t>
      </w:r>
      <w:r w:rsidR="00D77239" w:rsidRPr="001A0B66">
        <w:rPr>
          <w:rFonts w:ascii="FrankRuehl" w:hAnsi="FrankRuehl" w:cs="FrankRuehl"/>
          <w:sz w:val="28"/>
          <w:szCs w:val="28"/>
          <w:rtl/>
        </w:rPr>
        <w:t>"</w:t>
      </w:r>
      <w:r w:rsidR="00406812" w:rsidRPr="001A0B66">
        <w:rPr>
          <w:rFonts w:ascii="FrankRuehl" w:hAnsi="FrankRuehl" w:cs="FrankRuehl"/>
          <w:sz w:val="28"/>
          <w:szCs w:val="28"/>
          <w:rtl/>
        </w:rPr>
        <w:t xml:space="preserve"> המוצהר</w:t>
      </w:r>
      <w:r w:rsidR="004859BB" w:rsidRPr="001A0B66">
        <w:rPr>
          <w:rFonts w:ascii="FrankRuehl" w:hAnsi="FrankRuehl" w:cs="FrankRuehl"/>
          <w:sz w:val="28"/>
          <w:szCs w:val="28"/>
          <w:rtl/>
        </w:rPr>
        <w:t xml:space="preserve"> –</w:t>
      </w:r>
      <w:r w:rsidR="00FA3C16" w:rsidRPr="001A0B66">
        <w:rPr>
          <w:rFonts w:ascii="FrankRuehl" w:hAnsi="FrankRuehl" w:cs="FrankRuehl"/>
          <w:sz w:val="28"/>
          <w:szCs w:val="28"/>
          <w:rtl/>
        </w:rPr>
        <w:t xml:space="preserve"> </w:t>
      </w:r>
      <w:r w:rsidRPr="001A0B66">
        <w:rPr>
          <w:rFonts w:ascii="FrankRuehl" w:hAnsi="FrankRuehl" w:cs="FrankRuehl"/>
          <w:sz w:val="28"/>
          <w:szCs w:val="28"/>
          <w:rtl/>
        </w:rPr>
        <w:t>ההליך הפלילי</w:t>
      </w:r>
      <w:r w:rsidR="00B41565" w:rsidRPr="001A0B66">
        <w:rPr>
          <w:rFonts w:ascii="FrankRuehl" w:hAnsi="FrankRuehl" w:cs="FrankRuehl"/>
          <w:sz w:val="28"/>
          <w:szCs w:val="28"/>
          <w:rtl/>
        </w:rPr>
        <w:t xml:space="preserve">. </w:t>
      </w:r>
      <w:r w:rsidR="005B1003" w:rsidRPr="001A0B66">
        <w:rPr>
          <w:rFonts w:ascii="FrankRuehl" w:hAnsi="FrankRuehl" w:cs="FrankRuehl"/>
          <w:sz w:val="28"/>
          <w:szCs w:val="28"/>
          <w:rtl/>
        </w:rPr>
        <w:t>לכן הם גורסים, כי יש לבטל כליל את המעצר המנהלי ושימושים נוספים בראיות חסויות ולא "לשפר" אותם.</w:t>
      </w:r>
    </w:p>
    <w:p w14:paraId="5B62E773" w14:textId="77777777" w:rsidR="008E2DAA" w:rsidRPr="001A0B66" w:rsidRDefault="004859BB"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אם כן, </w:t>
      </w:r>
      <w:r w:rsidR="00A17F13" w:rsidRPr="001A0B66">
        <w:rPr>
          <w:rFonts w:ascii="FrankRuehl" w:hAnsi="FrankRuehl" w:cs="FrankRuehl"/>
          <w:sz w:val="28"/>
          <w:szCs w:val="28"/>
          <w:rtl/>
        </w:rPr>
        <w:t xml:space="preserve">הנה </w:t>
      </w:r>
      <w:r w:rsidR="00D77239" w:rsidRPr="001A0B66">
        <w:rPr>
          <w:rFonts w:ascii="FrankRuehl" w:hAnsi="FrankRuehl" w:cs="FrankRuehl"/>
          <w:sz w:val="28"/>
          <w:szCs w:val="28"/>
          <w:rtl/>
        </w:rPr>
        <w:t xml:space="preserve">הדילמה: </w:t>
      </w:r>
      <w:r w:rsidR="0047265F" w:rsidRPr="001A0B66">
        <w:rPr>
          <w:rFonts w:ascii="FrankRuehl" w:hAnsi="FrankRuehl" w:cs="FrankRuehl"/>
          <w:sz w:val="28"/>
          <w:szCs w:val="28"/>
          <w:rtl/>
        </w:rPr>
        <w:t>ה</w:t>
      </w:r>
      <w:r w:rsidR="005217A5" w:rsidRPr="001A0B66">
        <w:rPr>
          <w:rFonts w:ascii="FrankRuehl" w:hAnsi="FrankRuehl" w:cs="FrankRuehl"/>
          <w:sz w:val="28"/>
          <w:szCs w:val="28"/>
          <w:rtl/>
        </w:rPr>
        <w:t xml:space="preserve">אם </w:t>
      </w:r>
      <w:r w:rsidR="00D7598C" w:rsidRPr="001A0B66">
        <w:rPr>
          <w:rFonts w:ascii="FrankRuehl" w:hAnsi="FrankRuehl" w:cs="FrankRuehl"/>
          <w:sz w:val="28"/>
          <w:szCs w:val="28"/>
          <w:rtl/>
        </w:rPr>
        <w:t xml:space="preserve">לא </w:t>
      </w:r>
      <w:r w:rsidR="00B0789C" w:rsidRPr="001A0B66">
        <w:rPr>
          <w:rFonts w:ascii="FrankRuehl" w:hAnsi="FrankRuehl" w:cs="FrankRuehl"/>
          <w:sz w:val="28"/>
          <w:szCs w:val="28"/>
          <w:rtl/>
        </w:rPr>
        <w:t xml:space="preserve">ראוי </w:t>
      </w:r>
      <w:r w:rsidR="00D7598C" w:rsidRPr="001A0B66">
        <w:rPr>
          <w:rFonts w:ascii="FrankRuehl" w:hAnsi="FrankRuehl" w:cs="FrankRuehl"/>
          <w:sz w:val="28"/>
          <w:szCs w:val="28"/>
          <w:rtl/>
        </w:rPr>
        <w:t>לבטל את סמכויות שעת החירום או לפחות את חלקן</w:t>
      </w:r>
      <w:r w:rsidR="00B91418" w:rsidRPr="001A0B66">
        <w:rPr>
          <w:rFonts w:ascii="FrankRuehl" w:hAnsi="FrankRuehl" w:cs="FrankRuehl"/>
          <w:sz w:val="28"/>
          <w:szCs w:val="28"/>
          <w:rtl/>
        </w:rPr>
        <w:t>, או ש</w:t>
      </w:r>
      <w:r w:rsidR="00D77239" w:rsidRPr="001A0B66">
        <w:rPr>
          <w:rFonts w:ascii="FrankRuehl" w:hAnsi="FrankRuehl" w:cs="FrankRuehl"/>
          <w:sz w:val="28"/>
          <w:szCs w:val="28"/>
          <w:rtl/>
        </w:rPr>
        <w:t>לא ניתן לבטל</w:t>
      </w:r>
      <w:r w:rsidR="005B1003" w:rsidRPr="001A0B66">
        <w:rPr>
          <w:rFonts w:ascii="FrankRuehl" w:hAnsi="FrankRuehl" w:cs="FrankRuehl"/>
          <w:sz w:val="28"/>
          <w:szCs w:val="28"/>
          <w:rtl/>
        </w:rPr>
        <w:t>ן</w:t>
      </w:r>
      <w:r w:rsidR="00B91418" w:rsidRPr="001A0B66">
        <w:rPr>
          <w:rFonts w:ascii="FrankRuehl" w:hAnsi="FrankRuehl" w:cs="FrankRuehl"/>
          <w:sz w:val="28"/>
          <w:szCs w:val="28"/>
          <w:rtl/>
        </w:rPr>
        <w:t xml:space="preserve"> ויש לתור אחר</w:t>
      </w:r>
      <w:r w:rsidR="00D7598C" w:rsidRPr="001A0B66">
        <w:rPr>
          <w:rFonts w:ascii="FrankRuehl" w:hAnsi="FrankRuehl" w:cs="FrankRuehl"/>
          <w:sz w:val="28"/>
          <w:szCs w:val="28"/>
          <w:rtl/>
        </w:rPr>
        <w:t xml:space="preserve"> </w:t>
      </w:r>
      <w:r w:rsidR="0047265F" w:rsidRPr="001A0B66">
        <w:rPr>
          <w:rFonts w:ascii="FrankRuehl" w:hAnsi="FrankRuehl" w:cs="FrankRuehl"/>
          <w:sz w:val="28"/>
          <w:szCs w:val="28"/>
          <w:rtl/>
        </w:rPr>
        <w:t xml:space="preserve">דרכים למתן את </w:t>
      </w:r>
      <w:r w:rsidRPr="001A0B66">
        <w:rPr>
          <w:rFonts w:ascii="FrankRuehl" w:hAnsi="FrankRuehl" w:cs="FrankRuehl"/>
          <w:sz w:val="28"/>
          <w:szCs w:val="28"/>
          <w:rtl/>
        </w:rPr>
        <w:t>פגיעתן</w:t>
      </w:r>
      <w:r w:rsidR="005217A5" w:rsidRPr="001A0B66">
        <w:rPr>
          <w:rFonts w:ascii="FrankRuehl" w:hAnsi="FrankRuehl" w:cs="FrankRuehl"/>
          <w:sz w:val="28"/>
          <w:szCs w:val="28"/>
          <w:rtl/>
        </w:rPr>
        <w:t xml:space="preserve">? </w:t>
      </w:r>
      <w:r w:rsidR="00CF0C3D" w:rsidRPr="001A0B66">
        <w:rPr>
          <w:rFonts w:ascii="FrankRuehl" w:hAnsi="FrankRuehl" w:cs="FrankRuehl"/>
          <w:sz w:val="28"/>
          <w:szCs w:val="28"/>
          <w:rtl/>
        </w:rPr>
        <w:t>התלבטנו</w:t>
      </w:r>
      <w:r w:rsidR="00D77239" w:rsidRPr="001A0B66">
        <w:rPr>
          <w:rFonts w:ascii="FrankRuehl" w:hAnsi="FrankRuehl" w:cs="FrankRuehl"/>
          <w:sz w:val="28"/>
          <w:szCs w:val="28"/>
          <w:rtl/>
        </w:rPr>
        <w:t xml:space="preserve"> </w:t>
      </w:r>
      <w:r w:rsidR="001829A3">
        <w:rPr>
          <w:rFonts w:ascii="FrankRuehl" w:hAnsi="FrankRuehl" w:cs="FrankRuehl"/>
          <w:sz w:val="28"/>
          <w:szCs w:val="28"/>
          <w:rtl/>
        </w:rPr>
        <w:t xml:space="preserve">כאן </w:t>
      </w:r>
      <w:r w:rsidR="00B0789C" w:rsidRPr="001A0B66">
        <w:rPr>
          <w:rFonts w:ascii="FrankRuehl" w:hAnsi="FrankRuehl" w:cs="FrankRuehl"/>
          <w:sz w:val="28"/>
          <w:szCs w:val="28"/>
          <w:rtl/>
        </w:rPr>
        <w:t>מאוד</w:t>
      </w:r>
      <w:r w:rsidR="001829A3">
        <w:rPr>
          <w:rFonts w:ascii="FrankRuehl" w:hAnsi="FrankRuehl" w:cs="FrankRuehl"/>
          <w:sz w:val="28"/>
          <w:szCs w:val="28"/>
          <w:rtl/>
        </w:rPr>
        <w:t>; קונקרטית,</w:t>
      </w:r>
      <w:r w:rsidR="00B0789C" w:rsidRPr="001A0B66">
        <w:rPr>
          <w:rFonts w:ascii="FrankRuehl" w:hAnsi="FrankRuehl" w:cs="FrankRuehl"/>
          <w:sz w:val="28"/>
          <w:szCs w:val="28"/>
          <w:rtl/>
        </w:rPr>
        <w:t xml:space="preserve"> בשאלה</w:t>
      </w:r>
      <w:r w:rsidR="00CF0C3D" w:rsidRPr="001A0B66">
        <w:rPr>
          <w:rFonts w:ascii="FrankRuehl" w:hAnsi="FrankRuehl" w:cs="FrankRuehl"/>
          <w:sz w:val="28"/>
          <w:szCs w:val="28"/>
          <w:rtl/>
        </w:rPr>
        <w:t xml:space="preserve"> אם </w:t>
      </w:r>
      <w:r w:rsidR="003847CB" w:rsidRPr="001A0B66">
        <w:rPr>
          <w:rFonts w:ascii="FrankRuehl" w:hAnsi="FrankRuehl" w:cs="FrankRuehl"/>
          <w:sz w:val="28"/>
          <w:szCs w:val="28"/>
          <w:rtl/>
        </w:rPr>
        <w:t xml:space="preserve">להמשיך </w:t>
      </w:r>
      <w:r w:rsidR="00CF0C3D" w:rsidRPr="001A0B66">
        <w:rPr>
          <w:rFonts w:ascii="FrankRuehl" w:hAnsi="FrankRuehl" w:cs="FrankRuehl"/>
          <w:sz w:val="28"/>
          <w:szCs w:val="28"/>
          <w:rtl/>
        </w:rPr>
        <w:t>להתמקד במאמץ לביטול</w:t>
      </w:r>
      <w:r w:rsidR="001829A3">
        <w:rPr>
          <w:rFonts w:ascii="FrankRuehl" w:hAnsi="FrankRuehl" w:cs="FrankRuehl"/>
          <w:sz w:val="28"/>
          <w:szCs w:val="28"/>
          <w:rtl/>
        </w:rPr>
        <w:t>ם</w:t>
      </w:r>
      <w:r w:rsidR="00CF0C3D" w:rsidRPr="001A0B66">
        <w:rPr>
          <w:rFonts w:ascii="FrankRuehl" w:hAnsi="FrankRuehl" w:cs="FrankRuehl"/>
          <w:sz w:val="28"/>
          <w:szCs w:val="28"/>
          <w:rtl/>
        </w:rPr>
        <w:t xml:space="preserve"> המוחלט של המעצר המנהלי </w:t>
      </w:r>
      <w:r w:rsidR="003847CB" w:rsidRPr="001A0B66">
        <w:rPr>
          <w:rFonts w:ascii="FrankRuehl" w:hAnsi="FrankRuehl" w:cs="FrankRuehl"/>
          <w:sz w:val="28"/>
          <w:szCs w:val="28"/>
          <w:rtl/>
        </w:rPr>
        <w:t>ו</w:t>
      </w:r>
      <w:r w:rsidR="00035D2F" w:rsidRPr="001A0B66">
        <w:rPr>
          <w:rFonts w:ascii="FrankRuehl" w:hAnsi="FrankRuehl" w:cs="FrankRuehl"/>
          <w:sz w:val="28"/>
          <w:szCs w:val="28"/>
          <w:rtl/>
        </w:rPr>
        <w:t xml:space="preserve">סמכויות </w:t>
      </w:r>
      <w:r w:rsidR="003847CB" w:rsidRPr="001A0B66">
        <w:rPr>
          <w:rFonts w:ascii="FrankRuehl" w:hAnsi="FrankRuehl" w:cs="FrankRuehl"/>
          <w:sz w:val="28"/>
          <w:szCs w:val="28"/>
          <w:rtl/>
        </w:rPr>
        <w:t>חירום נוספ</w:t>
      </w:r>
      <w:r w:rsidR="00035D2F" w:rsidRPr="001A0B66">
        <w:rPr>
          <w:rFonts w:ascii="FrankRuehl" w:hAnsi="FrankRuehl" w:cs="FrankRuehl"/>
          <w:sz w:val="28"/>
          <w:szCs w:val="28"/>
          <w:rtl/>
        </w:rPr>
        <w:t>ות</w:t>
      </w:r>
      <w:r w:rsidR="003847CB" w:rsidRPr="001A0B66">
        <w:rPr>
          <w:rFonts w:ascii="FrankRuehl" w:hAnsi="FrankRuehl" w:cs="FrankRuehl"/>
          <w:sz w:val="28"/>
          <w:szCs w:val="28"/>
          <w:rtl/>
        </w:rPr>
        <w:t xml:space="preserve"> הנשענ</w:t>
      </w:r>
      <w:r w:rsidR="00035D2F" w:rsidRPr="001A0B66">
        <w:rPr>
          <w:rFonts w:ascii="FrankRuehl" w:hAnsi="FrankRuehl" w:cs="FrankRuehl"/>
          <w:sz w:val="28"/>
          <w:szCs w:val="28"/>
          <w:rtl/>
        </w:rPr>
        <w:t>ות</w:t>
      </w:r>
      <w:r w:rsidR="003847CB" w:rsidRPr="001A0B66">
        <w:rPr>
          <w:rFonts w:ascii="FrankRuehl" w:hAnsi="FrankRuehl" w:cs="FrankRuehl"/>
          <w:sz w:val="28"/>
          <w:szCs w:val="28"/>
          <w:rtl/>
        </w:rPr>
        <w:t xml:space="preserve"> על ראיות חסויות </w:t>
      </w:r>
      <w:r w:rsidR="00CF0C3D" w:rsidRPr="001A0B66">
        <w:rPr>
          <w:rFonts w:ascii="FrankRuehl" w:hAnsi="FrankRuehl" w:cs="FrankRuehl"/>
          <w:sz w:val="28"/>
          <w:szCs w:val="28"/>
          <w:rtl/>
        </w:rPr>
        <w:t>או שמא להקדיש את מרב האנרגיה לשינוי ההסדר הקיים</w:t>
      </w:r>
      <w:r w:rsidR="00035D2F" w:rsidRPr="001A0B66">
        <w:rPr>
          <w:rFonts w:ascii="FrankRuehl" w:hAnsi="FrankRuehl" w:cs="FrankRuehl"/>
          <w:sz w:val="28"/>
          <w:szCs w:val="28"/>
          <w:rtl/>
        </w:rPr>
        <w:t xml:space="preserve"> בעניינן של אותן סמכויות</w:t>
      </w:r>
      <w:r w:rsidR="00CF5D52" w:rsidRPr="001A0B66">
        <w:rPr>
          <w:rFonts w:ascii="FrankRuehl" w:hAnsi="FrankRuehl" w:cs="FrankRuehl"/>
          <w:sz w:val="28"/>
          <w:szCs w:val="28"/>
          <w:rtl/>
        </w:rPr>
        <w:t>,</w:t>
      </w:r>
      <w:r w:rsidR="00891854" w:rsidRPr="001A0B66">
        <w:rPr>
          <w:rFonts w:ascii="FrankRuehl" w:hAnsi="FrankRuehl" w:cs="FrankRuehl"/>
          <w:sz w:val="28"/>
          <w:szCs w:val="28"/>
          <w:rtl/>
        </w:rPr>
        <w:t xml:space="preserve"> </w:t>
      </w:r>
      <w:r w:rsidR="00B0789C" w:rsidRPr="001A0B66">
        <w:rPr>
          <w:rFonts w:ascii="FrankRuehl" w:hAnsi="FrankRuehl" w:cs="FrankRuehl"/>
          <w:sz w:val="28"/>
          <w:szCs w:val="28"/>
          <w:rtl/>
        </w:rPr>
        <w:t>ו</w:t>
      </w:r>
      <w:r w:rsidR="00CF0C3D" w:rsidRPr="001A0B66">
        <w:rPr>
          <w:rFonts w:ascii="FrankRuehl" w:hAnsi="FrankRuehl" w:cs="FrankRuehl"/>
          <w:sz w:val="28"/>
          <w:szCs w:val="28"/>
          <w:rtl/>
        </w:rPr>
        <w:t xml:space="preserve">העדפנו לבסוף את </w:t>
      </w:r>
      <w:r w:rsidRPr="001A0B66">
        <w:rPr>
          <w:rFonts w:ascii="FrankRuehl" w:hAnsi="FrankRuehl" w:cs="FrankRuehl"/>
          <w:sz w:val="28"/>
          <w:szCs w:val="28"/>
          <w:rtl/>
        </w:rPr>
        <w:t xml:space="preserve">האפשרות </w:t>
      </w:r>
      <w:r w:rsidR="00CF0C3D" w:rsidRPr="001A0B66">
        <w:rPr>
          <w:rFonts w:ascii="FrankRuehl" w:hAnsi="FrankRuehl" w:cs="FrankRuehl"/>
          <w:sz w:val="28"/>
          <w:szCs w:val="28"/>
          <w:rtl/>
        </w:rPr>
        <w:t xml:space="preserve">השנייה. </w:t>
      </w:r>
      <w:r w:rsidR="00947788" w:rsidRPr="001A0B66">
        <w:rPr>
          <w:rFonts w:ascii="FrankRuehl" w:hAnsi="FrankRuehl" w:cs="FrankRuehl"/>
          <w:sz w:val="28"/>
          <w:szCs w:val="28"/>
          <w:rtl/>
        </w:rPr>
        <w:t xml:space="preserve">הטענות </w:t>
      </w:r>
      <w:r w:rsidR="00A17F13" w:rsidRPr="001A0B66">
        <w:rPr>
          <w:rFonts w:ascii="FrankRuehl" w:hAnsi="FrankRuehl" w:cs="FrankRuehl"/>
          <w:sz w:val="28"/>
          <w:szCs w:val="28"/>
          <w:rtl/>
        </w:rPr>
        <w:t>נגד</w:t>
      </w:r>
      <w:r w:rsidRPr="001A0B66">
        <w:rPr>
          <w:rFonts w:ascii="FrankRuehl" w:hAnsi="FrankRuehl" w:cs="FrankRuehl"/>
          <w:sz w:val="28"/>
          <w:szCs w:val="28"/>
          <w:rtl/>
        </w:rPr>
        <w:t xml:space="preserve"> </w:t>
      </w:r>
      <w:r w:rsidR="003847CB" w:rsidRPr="001A0B66">
        <w:rPr>
          <w:rFonts w:ascii="FrankRuehl" w:hAnsi="FrankRuehl" w:cs="FrankRuehl"/>
          <w:sz w:val="28"/>
          <w:szCs w:val="28"/>
          <w:rtl/>
        </w:rPr>
        <w:t>העדפה</w:t>
      </w:r>
      <w:r w:rsidRPr="001A0B66">
        <w:rPr>
          <w:rFonts w:ascii="FrankRuehl" w:hAnsi="FrankRuehl" w:cs="FrankRuehl"/>
          <w:sz w:val="28"/>
          <w:szCs w:val="28"/>
          <w:rtl/>
        </w:rPr>
        <w:t xml:space="preserve"> זו</w:t>
      </w:r>
      <w:r w:rsidR="00A17F13" w:rsidRPr="001A0B66">
        <w:rPr>
          <w:rFonts w:ascii="FrankRuehl" w:hAnsi="FrankRuehl" w:cs="FrankRuehl"/>
          <w:sz w:val="28"/>
          <w:szCs w:val="28"/>
          <w:rtl/>
        </w:rPr>
        <w:t xml:space="preserve"> </w:t>
      </w:r>
      <w:r w:rsidR="00947788" w:rsidRPr="001A0B66">
        <w:rPr>
          <w:rFonts w:ascii="FrankRuehl" w:hAnsi="FrankRuehl" w:cs="FrankRuehl"/>
          <w:sz w:val="28"/>
          <w:szCs w:val="28"/>
          <w:rtl/>
        </w:rPr>
        <w:t>הן כבדות משקל</w:t>
      </w:r>
      <w:r w:rsidRPr="001A0B66">
        <w:rPr>
          <w:rFonts w:ascii="FrankRuehl" w:hAnsi="FrankRuehl" w:cs="FrankRuehl"/>
          <w:sz w:val="28"/>
          <w:szCs w:val="28"/>
          <w:rtl/>
        </w:rPr>
        <w:t>;</w:t>
      </w:r>
      <w:r w:rsidR="00947788" w:rsidRPr="001A0B66">
        <w:rPr>
          <w:rFonts w:ascii="FrankRuehl" w:hAnsi="FrankRuehl" w:cs="FrankRuehl"/>
          <w:sz w:val="28"/>
          <w:szCs w:val="28"/>
          <w:rtl/>
        </w:rPr>
        <w:t xml:space="preserve"> </w:t>
      </w:r>
      <w:r w:rsidR="009148F9" w:rsidRPr="001A0B66">
        <w:rPr>
          <w:rFonts w:ascii="FrankRuehl" w:hAnsi="FrankRuehl" w:cs="FrankRuehl"/>
          <w:sz w:val="28"/>
          <w:szCs w:val="28"/>
          <w:rtl/>
        </w:rPr>
        <w:t>החלטנו</w:t>
      </w:r>
      <w:r w:rsidR="00947788" w:rsidRPr="001A0B66">
        <w:rPr>
          <w:rFonts w:ascii="FrankRuehl" w:hAnsi="FrankRuehl" w:cs="FrankRuehl"/>
          <w:sz w:val="28"/>
          <w:szCs w:val="28"/>
          <w:rtl/>
        </w:rPr>
        <w:t xml:space="preserve"> שלא להתמודד </w:t>
      </w:r>
      <w:r w:rsidR="00CF5D52" w:rsidRPr="001A0B66">
        <w:rPr>
          <w:rFonts w:ascii="FrankRuehl" w:hAnsi="FrankRuehl" w:cs="FrankRuehl"/>
          <w:sz w:val="28"/>
          <w:szCs w:val="28"/>
          <w:rtl/>
        </w:rPr>
        <w:t>ע</w:t>
      </w:r>
      <w:r w:rsidR="00836624" w:rsidRPr="001A0B66">
        <w:rPr>
          <w:rFonts w:ascii="FrankRuehl" w:hAnsi="FrankRuehl" w:cs="FrankRuehl"/>
          <w:sz w:val="28"/>
          <w:szCs w:val="28"/>
          <w:rtl/>
        </w:rPr>
        <w:t>י</w:t>
      </w:r>
      <w:r w:rsidR="00CF5D52" w:rsidRPr="001A0B66">
        <w:rPr>
          <w:rFonts w:ascii="FrankRuehl" w:hAnsi="FrankRuehl" w:cs="FrankRuehl"/>
          <w:sz w:val="28"/>
          <w:szCs w:val="28"/>
          <w:rtl/>
        </w:rPr>
        <w:t>מן כאן</w:t>
      </w:r>
      <w:r w:rsidR="00A17F13" w:rsidRPr="001A0B66">
        <w:rPr>
          <w:rFonts w:ascii="FrankRuehl" w:hAnsi="FrankRuehl" w:cs="FrankRuehl"/>
          <w:sz w:val="28"/>
          <w:szCs w:val="28"/>
          <w:rtl/>
        </w:rPr>
        <w:t xml:space="preserve"> בהרחבה, </w:t>
      </w:r>
      <w:r w:rsidRPr="001A0B66">
        <w:rPr>
          <w:rFonts w:ascii="FrankRuehl" w:hAnsi="FrankRuehl" w:cs="FrankRuehl"/>
          <w:sz w:val="28"/>
          <w:szCs w:val="28"/>
          <w:rtl/>
        </w:rPr>
        <w:t xml:space="preserve">וחלף </w:t>
      </w:r>
      <w:r w:rsidR="00A17F13" w:rsidRPr="001A0B66">
        <w:rPr>
          <w:rFonts w:ascii="FrankRuehl" w:hAnsi="FrankRuehl" w:cs="FrankRuehl"/>
          <w:sz w:val="28"/>
          <w:szCs w:val="28"/>
          <w:rtl/>
        </w:rPr>
        <w:t xml:space="preserve">זאת </w:t>
      </w:r>
      <w:r w:rsidR="00947788" w:rsidRPr="001A0B66">
        <w:rPr>
          <w:rFonts w:ascii="FrankRuehl" w:hAnsi="FrankRuehl" w:cs="FrankRuehl"/>
          <w:sz w:val="28"/>
          <w:szCs w:val="28"/>
          <w:rtl/>
        </w:rPr>
        <w:t xml:space="preserve">להתמקד בבחינת </w:t>
      </w:r>
      <w:r w:rsidR="00035D2F" w:rsidRPr="001A0B66">
        <w:rPr>
          <w:rFonts w:ascii="FrankRuehl" w:hAnsi="FrankRuehl" w:cs="FrankRuehl"/>
          <w:sz w:val="28"/>
          <w:szCs w:val="28"/>
          <w:rtl/>
        </w:rPr>
        <w:t xml:space="preserve">הצעה לשינוי </w:t>
      </w:r>
      <w:r w:rsidR="004941DA" w:rsidRPr="001A0B66">
        <w:rPr>
          <w:rFonts w:ascii="FrankRuehl" w:hAnsi="FrankRuehl" w:cs="FrankRuehl"/>
          <w:sz w:val="28"/>
          <w:szCs w:val="28"/>
          <w:rtl/>
        </w:rPr>
        <w:t xml:space="preserve">מצב הדברים </w:t>
      </w:r>
      <w:r w:rsidR="00035D2F" w:rsidRPr="001A0B66">
        <w:rPr>
          <w:rFonts w:ascii="FrankRuehl" w:hAnsi="FrankRuehl" w:cs="FrankRuehl"/>
          <w:sz w:val="28"/>
          <w:szCs w:val="28"/>
          <w:rtl/>
        </w:rPr>
        <w:t>הקיים ב</w:t>
      </w:r>
      <w:r w:rsidR="009860A0" w:rsidRPr="001A0B66">
        <w:rPr>
          <w:rFonts w:ascii="FrankRuehl" w:hAnsi="FrankRuehl" w:cs="FrankRuehl"/>
          <w:sz w:val="28"/>
          <w:szCs w:val="28"/>
          <w:rtl/>
        </w:rPr>
        <w:t>אמצעות</w:t>
      </w:r>
      <w:r w:rsidR="00035D2F" w:rsidRPr="001A0B66">
        <w:rPr>
          <w:rFonts w:ascii="FrankRuehl" w:hAnsi="FrankRuehl" w:cs="FrankRuehl"/>
          <w:sz w:val="28"/>
          <w:szCs w:val="28"/>
          <w:rtl/>
        </w:rPr>
        <w:t xml:space="preserve"> </w:t>
      </w:r>
      <w:r w:rsidR="00947788" w:rsidRPr="001A0B66">
        <w:rPr>
          <w:rFonts w:ascii="FrankRuehl" w:hAnsi="FrankRuehl" w:cs="FrankRuehl"/>
          <w:sz w:val="28"/>
          <w:szCs w:val="28"/>
          <w:rtl/>
        </w:rPr>
        <w:t xml:space="preserve">הסדר </w:t>
      </w:r>
      <w:r w:rsidR="00035D2F" w:rsidRPr="001A0B66">
        <w:rPr>
          <w:rFonts w:ascii="FrankRuehl" w:hAnsi="FrankRuehl" w:cs="FrankRuehl"/>
          <w:sz w:val="28"/>
          <w:szCs w:val="28"/>
          <w:rtl/>
        </w:rPr>
        <w:t xml:space="preserve">מוצע </w:t>
      </w:r>
      <w:r w:rsidR="00947788" w:rsidRPr="001A0B66">
        <w:rPr>
          <w:rFonts w:ascii="FrankRuehl" w:hAnsi="FrankRuehl" w:cs="FrankRuehl"/>
          <w:sz w:val="28"/>
          <w:szCs w:val="28"/>
          <w:rtl/>
        </w:rPr>
        <w:t>ספציפי ובגישה שיכולה להיקרא פרגמטית</w:t>
      </w:r>
      <w:r w:rsidR="008E2DAA" w:rsidRPr="001A0B66">
        <w:rPr>
          <w:rFonts w:ascii="FrankRuehl" w:hAnsi="FrankRuehl" w:cs="FrankRuehl"/>
          <w:sz w:val="28"/>
          <w:szCs w:val="28"/>
          <w:rtl/>
        </w:rPr>
        <w:t xml:space="preserve">; </w:t>
      </w:r>
      <w:r w:rsidR="00242B84" w:rsidRPr="001A0B66">
        <w:rPr>
          <w:rFonts w:ascii="FrankRuehl" w:hAnsi="FrankRuehl" w:cs="FrankRuehl"/>
          <w:sz w:val="28"/>
          <w:szCs w:val="28"/>
          <w:rtl/>
        </w:rPr>
        <w:t xml:space="preserve">עם זאת, </w:t>
      </w:r>
      <w:r w:rsidR="003847CB" w:rsidRPr="001A0B66">
        <w:rPr>
          <w:rFonts w:ascii="FrankRuehl" w:hAnsi="FrankRuehl" w:cs="FrankRuehl"/>
          <w:sz w:val="28"/>
          <w:szCs w:val="28"/>
          <w:rtl/>
        </w:rPr>
        <w:t xml:space="preserve">עומדות לצדה </w:t>
      </w:r>
      <w:r w:rsidR="00242B84" w:rsidRPr="001A0B66">
        <w:rPr>
          <w:rFonts w:ascii="FrankRuehl" w:hAnsi="FrankRuehl" w:cs="FrankRuehl"/>
          <w:sz w:val="28"/>
          <w:szCs w:val="28"/>
          <w:rtl/>
        </w:rPr>
        <w:t xml:space="preserve">של העדפה זו </w:t>
      </w:r>
      <w:r w:rsidR="005B1003" w:rsidRPr="001A0B66">
        <w:rPr>
          <w:rFonts w:ascii="FrankRuehl" w:hAnsi="FrankRuehl" w:cs="FrankRuehl"/>
          <w:sz w:val="28"/>
          <w:szCs w:val="28"/>
          <w:rtl/>
        </w:rPr>
        <w:t xml:space="preserve">שלנו </w:t>
      </w:r>
      <w:r w:rsidR="00242B84" w:rsidRPr="001A0B66">
        <w:rPr>
          <w:rFonts w:ascii="FrankRuehl" w:hAnsi="FrankRuehl" w:cs="FrankRuehl"/>
          <w:sz w:val="28"/>
          <w:szCs w:val="28"/>
          <w:rtl/>
        </w:rPr>
        <w:t xml:space="preserve">גם </w:t>
      </w:r>
      <w:r w:rsidR="003847CB" w:rsidRPr="001A0B66">
        <w:rPr>
          <w:rFonts w:ascii="FrankRuehl" w:hAnsi="FrankRuehl" w:cs="FrankRuehl"/>
          <w:sz w:val="28"/>
          <w:szCs w:val="28"/>
          <w:rtl/>
        </w:rPr>
        <w:t>הצ</w:t>
      </w:r>
      <w:r w:rsidR="00947788" w:rsidRPr="001A0B66">
        <w:rPr>
          <w:rFonts w:ascii="FrankRuehl" w:hAnsi="FrankRuehl" w:cs="FrankRuehl"/>
          <w:sz w:val="28"/>
          <w:szCs w:val="28"/>
          <w:rtl/>
        </w:rPr>
        <w:t>דקות</w:t>
      </w:r>
      <w:r w:rsidR="00DD5EBB" w:rsidRPr="001A0B66">
        <w:rPr>
          <w:rFonts w:ascii="FrankRuehl" w:hAnsi="FrankRuehl" w:cs="FrankRuehl"/>
          <w:sz w:val="28"/>
          <w:szCs w:val="28"/>
          <w:rtl/>
        </w:rPr>
        <w:t xml:space="preserve"> תיאורטיות</w:t>
      </w:r>
      <w:r w:rsidR="007B7F19" w:rsidRPr="001A0B66">
        <w:rPr>
          <w:rFonts w:ascii="FrankRuehl" w:hAnsi="FrankRuehl" w:cs="FrankRuehl"/>
          <w:sz w:val="28"/>
          <w:szCs w:val="28"/>
          <w:rtl/>
        </w:rPr>
        <w:t xml:space="preserve">, ונציג את </w:t>
      </w:r>
      <w:r w:rsidR="0027147E" w:rsidRPr="001A0B66">
        <w:rPr>
          <w:rFonts w:ascii="FrankRuehl" w:hAnsi="FrankRuehl" w:cs="FrankRuehl"/>
          <w:sz w:val="28"/>
          <w:szCs w:val="28"/>
          <w:rtl/>
        </w:rPr>
        <w:t>העיקריות שבהן</w:t>
      </w:r>
      <w:r w:rsidR="00947788" w:rsidRPr="001A0B66">
        <w:rPr>
          <w:rFonts w:ascii="FrankRuehl" w:hAnsi="FrankRuehl" w:cs="FrankRuehl"/>
          <w:sz w:val="28"/>
          <w:szCs w:val="28"/>
          <w:rtl/>
        </w:rPr>
        <w:t xml:space="preserve">. </w:t>
      </w:r>
    </w:p>
    <w:p w14:paraId="7C55FED1" w14:textId="77777777" w:rsidR="00447524" w:rsidRPr="001A0B66" w:rsidRDefault="00584FE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בחינת סמכויות החירום </w:t>
      </w:r>
      <w:r w:rsidR="007B7F19" w:rsidRPr="001A0B66">
        <w:rPr>
          <w:rFonts w:ascii="FrankRuehl" w:hAnsi="FrankRuehl" w:cs="FrankRuehl"/>
          <w:sz w:val="28"/>
          <w:szCs w:val="28"/>
          <w:rtl/>
        </w:rPr>
        <w:t xml:space="preserve">בישראל </w:t>
      </w:r>
      <w:r w:rsidRPr="001A0B66">
        <w:rPr>
          <w:rFonts w:ascii="FrankRuehl" w:hAnsi="FrankRuehl" w:cs="FrankRuehl"/>
          <w:sz w:val="28"/>
          <w:szCs w:val="28"/>
          <w:rtl/>
        </w:rPr>
        <w:t xml:space="preserve">מנקודת המבט של משפט וחברה, </w:t>
      </w:r>
      <w:r w:rsidR="004941DA" w:rsidRPr="001A0B66">
        <w:rPr>
          <w:rFonts w:ascii="FrankRuehl" w:hAnsi="FrankRuehl" w:cs="FrankRuehl"/>
          <w:sz w:val="28"/>
          <w:szCs w:val="28"/>
          <w:rtl/>
        </w:rPr>
        <w:t>משמע, התבוננות בא</w:t>
      </w:r>
      <w:r w:rsidRPr="001A0B66">
        <w:rPr>
          <w:rFonts w:ascii="FrankRuehl" w:hAnsi="FrankRuehl" w:cs="FrankRuehl"/>
          <w:sz w:val="28"/>
          <w:szCs w:val="28"/>
          <w:rtl/>
        </w:rPr>
        <w:t>ופן שבו המשפט פועל למעשה</w:t>
      </w:r>
      <w:r w:rsidR="00EC6DA2" w:rsidRPr="001A0B66">
        <w:rPr>
          <w:rFonts w:ascii="FrankRuehl" w:hAnsi="FrankRuehl" w:cs="FrankRuehl"/>
          <w:sz w:val="28"/>
          <w:szCs w:val="28"/>
          <w:rtl/>
        </w:rPr>
        <w:t xml:space="preserve"> בתוך מערך חברתי, מלמדת כי</w:t>
      </w:r>
      <w:r w:rsidR="007B7F19" w:rsidRPr="001A0B66">
        <w:rPr>
          <w:rFonts w:ascii="FrankRuehl" w:hAnsi="FrankRuehl" w:cs="FrankRuehl"/>
          <w:sz w:val="28"/>
          <w:szCs w:val="28"/>
          <w:rtl/>
        </w:rPr>
        <w:t xml:space="preserve"> </w:t>
      </w:r>
      <w:r w:rsidR="00447524" w:rsidRPr="001A0B66">
        <w:rPr>
          <w:rFonts w:ascii="FrankRuehl" w:hAnsi="FrankRuehl" w:cs="FrankRuehl"/>
          <w:sz w:val="28"/>
          <w:szCs w:val="28"/>
          <w:rtl/>
        </w:rPr>
        <w:t xml:space="preserve">השימוש בסמכויות שעת חירום כה נפוץ בישראל ובשטחים שבשליטתה עד שדומה כי הוא מרוקן את המושג "שעת חירום" מתוכן. בספרו </w:t>
      </w:r>
      <w:r w:rsidR="00447524" w:rsidRPr="001A0B66">
        <w:rPr>
          <w:rFonts w:ascii="FrankRuehl" w:hAnsi="FrankRuehl" w:cs="FrankRuehl"/>
          <w:i/>
          <w:iCs/>
          <w:sz w:val="28"/>
          <w:szCs w:val="28"/>
        </w:rPr>
        <w:t>Between the Rule of Law and States of Exception</w:t>
      </w:r>
      <w:r w:rsidR="00447524" w:rsidRPr="001A0B66">
        <w:rPr>
          <w:rFonts w:ascii="FrankRuehl" w:hAnsi="FrankRuehl" w:cs="FrankRuehl"/>
          <w:sz w:val="28"/>
          <w:szCs w:val="28"/>
          <w:rtl/>
        </w:rPr>
        <w:t xml:space="preserve"> טוען יואב </w:t>
      </w:r>
      <w:proofErr w:type="spellStart"/>
      <w:r w:rsidR="00447524" w:rsidRPr="001A0B66">
        <w:rPr>
          <w:rFonts w:ascii="FrankRuehl" w:hAnsi="FrankRuehl" w:cs="FrankRuehl"/>
          <w:sz w:val="28"/>
          <w:szCs w:val="28"/>
          <w:rtl/>
        </w:rPr>
        <w:t>מחוזאי</w:t>
      </w:r>
      <w:proofErr w:type="spellEnd"/>
      <w:r w:rsidR="00447524" w:rsidRPr="001A0B66">
        <w:rPr>
          <w:rFonts w:ascii="FrankRuehl" w:hAnsi="FrankRuehl" w:cs="FrankRuehl"/>
          <w:sz w:val="28"/>
          <w:szCs w:val="28"/>
          <w:rtl/>
        </w:rPr>
        <w:t xml:space="preserve"> ששלטון החוק (</w:t>
      </w:r>
      <w:r w:rsidR="001829A3">
        <w:rPr>
          <w:rFonts w:ascii="FrankRuehl" w:hAnsi="FrankRuehl" w:cs="FrankRuehl"/>
          <w:sz w:val="28"/>
          <w:szCs w:val="28"/>
          <w:rtl/>
        </w:rPr>
        <w:t xml:space="preserve">מה שכינינו לעיל: </w:t>
      </w:r>
      <w:r w:rsidR="00447524" w:rsidRPr="001A0B66">
        <w:rPr>
          <w:rFonts w:ascii="FrankRuehl" w:hAnsi="FrankRuehl" w:cs="FrankRuehl"/>
          <w:sz w:val="28"/>
          <w:szCs w:val="28"/>
          <w:rtl/>
        </w:rPr>
        <w:t>"ישראל הנורמלית") ומצב החירום ("ישראל הלא נורמלית") מתקיימים למעשה כל העת זה לצד זה, והם אינם הפוכים זה לזה כי אם משלימים.</w:t>
      </w:r>
      <w:bookmarkStart w:id="21" w:name="_Ref53042090"/>
      <w:r w:rsidR="00447524" w:rsidRPr="001A0B66">
        <w:rPr>
          <w:rStyle w:val="FootnoteReference"/>
          <w:rFonts w:ascii="FrankRuehl" w:hAnsi="FrankRuehl" w:cs="FrankRuehl"/>
          <w:sz w:val="28"/>
          <w:szCs w:val="28"/>
          <w:rtl/>
        </w:rPr>
        <w:footnoteReference w:id="12"/>
      </w:r>
      <w:bookmarkEnd w:id="21"/>
      <w:r w:rsidR="00447524" w:rsidRPr="001A0B66">
        <w:rPr>
          <w:rFonts w:ascii="FrankRuehl" w:hAnsi="FrankRuehl" w:cs="FrankRuehl"/>
          <w:sz w:val="28"/>
          <w:szCs w:val="28"/>
          <w:rtl/>
        </w:rPr>
        <w:t xml:space="preserve"> השלמה זו טומנת בחובה סכנות, שכן ההסדרים המשפטיים של מצב החירום המצויים בתוקף כל העת מאפשרים למדינה לעשות כמעט כל מה שאינה יכולה לעשות בגדר "שלטון החוק" במובנו המהותי. מכיוון שמצב החירום נתפס כחריג הוא מאפשר הפרה של האלמנטים המהותיים של שלטון החוק מבלי לבטל את שלטון החוק כליל, </w:t>
      </w:r>
      <w:r w:rsidR="003D0CAA" w:rsidRPr="001A0B66">
        <w:rPr>
          <w:rFonts w:ascii="FrankRuehl" w:hAnsi="FrankRuehl" w:cs="FrankRuehl"/>
          <w:sz w:val="28"/>
          <w:szCs w:val="28"/>
          <w:rtl/>
        </w:rPr>
        <w:t xml:space="preserve">זאת </w:t>
      </w:r>
      <w:r w:rsidR="00447524" w:rsidRPr="001A0B66">
        <w:rPr>
          <w:rFonts w:ascii="FrankRuehl" w:hAnsi="FrankRuehl" w:cs="FrankRuehl"/>
          <w:sz w:val="28"/>
          <w:szCs w:val="28"/>
          <w:rtl/>
        </w:rPr>
        <w:t>באמצעות יצירת מערכת כפולה, דו-ערכית ונזילה המאפשרת להשתמש באמצעי חירום במגוון מצבים ולאורך זמן.</w:t>
      </w:r>
      <w:r w:rsidR="005C0E4F" w:rsidRPr="001A0B66">
        <w:rPr>
          <w:rStyle w:val="FootnoteReference"/>
          <w:rFonts w:ascii="FrankRuehl" w:hAnsi="FrankRuehl" w:cs="FrankRuehl"/>
          <w:sz w:val="28"/>
          <w:szCs w:val="28"/>
          <w:rtl/>
        </w:rPr>
        <w:footnoteReference w:id="13"/>
      </w:r>
      <w:r w:rsidR="008C3BB1">
        <w:rPr>
          <w:rFonts w:ascii="FrankRuehl" w:hAnsi="FrankRuehl" w:cs="FrankRuehl"/>
          <w:sz w:val="28"/>
          <w:szCs w:val="28"/>
          <w:rtl/>
        </w:rPr>
        <w:t xml:space="preserve"> </w:t>
      </w:r>
    </w:p>
    <w:p w14:paraId="0A1D822D" w14:textId="77777777" w:rsidR="008E2DAA" w:rsidRPr="001A0B66" w:rsidRDefault="00D967AB"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ניתוח</w:t>
      </w:r>
      <w:r w:rsidR="009860A0" w:rsidRPr="001A0B66">
        <w:rPr>
          <w:rFonts w:ascii="FrankRuehl" w:hAnsi="FrankRuehl" w:cs="FrankRuehl"/>
          <w:sz w:val="28"/>
          <w:szCs w:val="28"/>
          <w:rtl/>
        </w:rPr>
        <w:t xml:space="preserve"> ז</w:t>
      </w:r>
      <w:r w:rsidRPr="001A0B66">
        <w:rPr>
          <w:rFonts w:ascii="FrankRuehl" w:hAnsi="FrankRuehl" w:cs="FrankRuehl"/>
          <w:sz w:val="28"/>
          <w:szCs w:val="28"/>
          <w:rtl/>
        </w:rPr>
        <w:t>ה</w:t>
      </w:r>
      <w:r w:rsidR="009860A0" w:rsidRPr="001A0B66">
        <w:rPr>
          <w:rFonts w:ascii="FrankRuehl" w:hAnsi="FrankRuehl" w:cs="FrankRuehl"/>
          <w:sz w:val="28"/>
          <w:szCs w:val="28"/>
          <w:rtl/>
        </w:rPr>
        <w:t xml:space="preserve"> מבהיר את ההצדקה הראשונה ל</w:t>
      </w:r>
      <w:r w:rsidR="000C51C6" w:rsidRPr="001A0B66">
        <w:rPr>
          <w:rFonts w:ascii="FrankRuehl" w:hAnsi="FrankRuehl" w:cs="FrankRuehl"/>
          <w:sz w:val="28"/>
          <w:szCs w:val="28"/>
          <w:rtl/>
        </w:rPr>
        <w:t xml:space="preserve">העדפת </w:t>
      </w:r>
      <w:r w:rsidR="009860A0" w:rsidRPr="001A0B66">
        <w:rPr>
          <w:rFonts w:ascii="FrankRuehl" w:hAnsi="FrankRuehl" w:cs="FrankRuehl"/>
          <w:sz w:val="28"/>
          <w:szCs w:val="28"/>
          <w:rtl/>
        </w:rPr>
        <w:t xml:space="preserve">מיתון בעיית הראיות החסויות </w:t>
      </w:r>
      <w:r w:rsidR="000C51C6" w:rsidRPr="001A0B66">
        <w:rPr>
          <w:rFonts w:ascii="FrankRuehl" w:hAnsi="FrankRuehl" w:cs="FrankRuehl"/>
          <w:sz w:val="28"/>
          <w:szCs w:val="28"/>
          <w:rtl/>
        </w:rPr>
        <w:t>על פני ניסיון</w:t>
      </w:r>
      <w:r w:rsidR="001829A3">
        <w:rPr>
          <w:rFonts w:ascii="FrankRuehl" w:hAnsi="FrankRuehl" w:cs="FrankRuehl"/>
          <w:sz w:val="28"/>
          <w:szCs w:val="28"/>
          <w:rtl/>
        </w:rPr>
        <w:t xml:space="preserve"> – עקר, כך אנו סוברים – </w:t>
      </w:r>
      <w:r w:rsidR="000C51C6" w:rsidRPr="001A0B66">
        <w:rPr>
          <w:rFonts w:ascii="FrankRuehl" w:hAnsi="FrankRuehl" w:cs="FrankRuehl"/>
          <w:sz w:val="28"/>
          <w:szCs w:val="28"/>
          <w:rtl/>
        </w:rPr>
        <w:t>לעוקרה משורש</w:t>
      </w:r>
      <w:r w:rsidR="009860A0" w:rsidRPr="001A0B66">
        <w:rPr>
          <w:rFonts w:ascii="FrankRuehl" w:hAnsi="FrankRuehl" w:cs="FrankRuehl"/>
          <w:sz w:val="28"/>
          <w:szCs w:val="28"/>
          <w:rtl/>
        </w:rPr>
        <w:t xml:space="preserve">. </w:t>
      </w:r>
      <w:r w:rsidR="00EC6DA2" w:rsidRPr="001A0B66">
        <w:rPr>
          <w:rFonts w:ascii="FrankRuehl" w:hAnsi="FrankRuehl" w:cs="FrankRuehl"/>
          <w:sz w:val="28"/>
          <w:szCs w:val="28"/>
          <w:rtl/>
        </w:rPr>
        <w:t xml:space="preserve">ההבנה </w:t>
      </w:r>
      <w:r w:rsidR="00BA080D" w:rsidRPr="001A0B66">
        <w:rPr>
          <w:rFonts w:ascii="FrankRuehl" w:hAnsi="FrankRuehl" w:cs="FrankRuehl"/>
          <w:sz w:val="28"/>
          <w:szCs w:val="28"/>
          <w:rtl/>
        </w:rPr>
        <w:t>ש</w:t>
      </w:r>
      <w:r w:rsidR="00CF0C3D" w:rsidRPr="001A0B66">
        <w:rPr>
          <w:rFonts w:ascii="FrankRuehl" w:hAnsi="FrankRuehl" w:cs="FrankRuehl"/>
          <w:sz w:val="28"/>
          <w:szCs w:val="28"/>
          <w:rtl/>
        </w:rPr>
        <w:t>המעצר המנהלי</w:t>
      </w:r>
      <w:r w:rsidR="00BA080D" w:rsidRPr="001A0B66">
        <w:rPr>
          <w:rFonts w:ascii="FrankRuehl" w:hAnsi="FrankRuehl" w:cs="FrankRuehl"/>
          <w:sz w:val="28"/>
          <w:szCs w:val="28"/>
          <w:rtl/>
        </w:rPr>
        <w:t xml:space="preserve"> </w:t>
      </w:r>
      <w:r w:rsidR="001829A3">
        <w:rPr>
          <w:rFonts w:ascii="FrankRuehl" w:hAnsi="FrankRuehl" w:cs="FrankRuehl"/>
          <w:sz w:val="28"/>
          <w:szCs w:val="28"/>
          <w:rtl/>
        </w:rPr>
        <w:t xml:space="preserve">והראיות החסויות </w:t>
      </w:r>
      <w:r w:rsidR="00BA080D" w:rsidRPr="001A0B66">
        <w:rPr>
          <w:rFonts w:ascii="FrankRuehl" w:hAnsi="FrankRuehl" w:cs="FrankRuehl"/>
          <w:sz w:val="28"/>
          <w:szCs w:val="28"/>
          <w:rtl/>
        </w:rPr>
        <w:t>אינ</w:t>
      </w:r>
      <w:r w:rsidR="001829A3">
        <w:rPr>
          <w:rFonts w:ascii="FrankRuehl" w:hAnsi="FrankRuehl" w:cs="FrankRuehl"/>
          <w:sz w:val="28"/>
          <w:szCs w:val="28"/>
          <w:rtl/>
        </w:rPr>
        <w:t>ם</w:t>
      </w:r>
      <w:r w:rsidR="00BA080D" w:rsidRPr="001A0B66">
        <w:rPr>
          <w:rFonts w:ascii="FrankRuehl" w:hAnsi="FrankRuehl" w:cs="FrankRuehl"/>
          <w:sz w:val="28"/>
          <w:szCs w:val="28"/>
          <w:rtl/>
        </w:rPr>
        <w:t xml:space="preserve"> באמת חריג</w:t>
      </w:r>
      <w:r w:rsidR="001829A3">
        <w:rPr>
          <w:rFonts w:ascii="FrankRuehl" w:hAnsi="FrankRuehl" w:cs="FrankRuehl"/>
          <w:sz w:val="28"/>
          <w:szCs w:val="28"/>
          <w:rtl/>
        </w:rPr>
        <w:t>ים</w:t>
      </w:r>
      <w:r w:rsidR="00BA080D" w:rsidRPr="001A0B66">
        <w:rPr>
          <w:rFonts w:ascii="FrankRuehl" w:hAnsi="FrankRuehl" w:cs="FrankRuehl"/>
          <w:sz w:val="28"/>
          <w:szCs w:val="28"/>
          <w:rtl/>
        </w:rPr>
        <w:t xml:space="preserve">, </w:t>
      </w:r>
      <w:r w:rsidR="003D0CAA" w:rsidRPr="001A0B66">
        <w:rPr>
          <w:rFonts w:ascii="FrankRuehl" w:hAnsi="FrankRuehl" w:cs="FrankRuehl"/>
          <w:sz w:val="28"/>
          <w:szCs w:val="28"/>
          <w:rtl/>
        </w:rPr>
        <w:t>ו</w:t>
      </w:r>
      <w:r w:rsidR="00BA080D" w:rsidRPr="001A0B66">
        <w:rPr>
          <w:rFonts w:ascii="FrankRuehl" w:hAnsi="FrankRuehl" w:cs="FrankRuehl"/>
          <w:sz w:val="28"/>
          <w:szCs w:val="28"/>
          <w:rtl/>
        </w:rPr>
        <w:t>שהשימוש ב</w:t>
      </w:r>
      <w:r w:rsidR="00A4222C" w:rsidRPr="001A0B66">
        <w:rPr>
          <w:rFonts w:ascii="FrankRuehl" w:hAnsi="FrankRuehl" w:cs="FrankRuehl"/>
          <w:sz w:val="28"/>
          <w:szCs w:val="28"/>
          <w:rtl/>
        </w:rPr>
        <w:t>מושג "</w:t>
      </w:r>
      <w:r w:rsidR="00BA080D" w:rsidRPr="001A0B66">
        <w:rPr>
          <w:rFonts w:ascii="FrankRuehl" w:hAnsi="FrankRuehl" w:cs="FrankRuehl"/>
          <w:sz w:val="28"/>
          <w:szCs w:val="28"/>
          <w:rtl/>
        </w:rPr>
        <w:t>שעת חירום</w:t>
      </w:r>
      <w:r w:rsidR="00A4222C" w:rsidRPr="001A0B66">
        <w:rPr>
          <w:rFonts w:ascii="FrankRuehl" w:hAnsi="FrankRuehl" w:cs="FrankRuehl"/>
          <w:sz w:val="28"/>
          <w:szCs w:val="28"/>
          <w:rtl/>
        </w:rPr>
        <w:t>"</w:t>
      </w:r>
      <w:r w:rsidR="00BA080D" w:rsidRPr="001A0B66">
        <w:rPr>
          <w:rFonts w:ascii="FrankRuehl" w:hAnsi="FrankRuehl" w:cs="FrankRuehl"/>
          <w:sz w:val="28"/>
          <w:szCs w:val="28"/>
          <w:rtl/>
        </w:rPr>
        <w:t xml:space="preserve"> ה</w:t>
      </w:r>
      <w:r w:rsidR="00A4222C" w:rsidRPr="001A0B66">
        <w:rPr>
          <w:rFonts w:ascii="FrankRuehl" w:hAnsi="FrankRuehl" w:cs="FrankRuehl"/>
          <w:sz w:val="28"/>
          <w:szCs w:val="28"/>
          <w:rtl/>
        </w:rPr>
        <w:t>ו</w:t>
      </w:r>
      <w:r w:rsidR="00BA080D" w:rsidRPr="001A0B66">
        <w:rPr>
          <w:rFonts w:ascii="FrankRuehl" w:hAnsi="FrankRuehl" w:cs="FrankRuehl"/>
          <w:sz w:val="28"/>
          <w:szCs w:val="28"/>
          <w:rtl/>
        </w:rPr>
        <w:t xml:space="preserve">א </w:t>
      </w:r>
      <w:r w:rsidR="0027147E" w:rsidRPr="001A0B66">
        <w:rPr>
          <w:rFonts w:ascii="FrankRuehl" w:hAnsi="FrankRuehl" w:cs="FrankRuehl"/>
          <w:sz w:val="28"/>
          <w:szCs w:val="28"/>
          <w:rtl/>
        </w:rPr>
        <w:t>מהלך רטורי</w:t>
      </w:r>
      <w:r w:rsidR="00BA080D" w:rsidRPr="001A0B66">
        <w:rPr>
          <w:rFonts w:ascii="FrankRuehl" w:hAnsi="FrankRuehl" w:cs="FrankRuehl"/>
          <w:sz w:val="28"/>
          <w:szCs w:val="28"/>
          <w:rtl/>
        </w:rPr>
        <w:t xml:space="preserve"> להצדיק סטייה </w:t>
      </w:r>
      <w:r w:rsidR="007B7F19" w:rsidRPr="001A0B66">
        <w:rPr>
          <w:rFonts w:ascii="FrankRuehl" w:hAnsi="FrankRuehl" w:cs="FrankRuehl"/>
          <w:sz w:val="28"/>
          <w:szCs w:val="28"/>
          <w:rtl/>
        </w:rPr>
        <w:t>–</w:t>
      </w:r>
      <w:r w:rsidR="00857749" w:rsidRPr="001A0B66">
        <w:rPr>
          <w:rFonts w:ascii="FrankRuehl" w:hAnsi="FrankRuehl" w:cs="FrankRuehl"/>
          <w:sz w:val="28"/>
          <w:szCs w:val="28"/>
          <w:rtl/>
        </w:rPr>
        <w:t xml:space="preserve"> </w:t>
      </w:r>
      <w:r w:rsidR="00BA080D" w:rsidRPr="001A0B66">
        <w:rPr>
          <w:rFonts w:ascii="FrankRuehl" w:hAnsi="FrankRuehl" w:cs="FrankRuehl"/>
          <w:sz w:val="28"/>
          <w:szCs w:val="28"/>
          <w:rtl/>
        </w:rPr>
        <w:t>שאחרת אינה מקובלת</w:t>
      </w:r>
      <w:r w:rsidR="00857749" w:rsidRPr="001A0B66">
        <w:rPr>
          <w:rFonts w:ascii="FrankRuehl" w:hAnsi="FrankRuehl" w:cs="FrankRuehl"/>
          <w:sz w:val="28"/>
          <w:szCs w:val="28"/>
          <w:rtl/>
        </w:rPr>
        <w:t xml:space="preserve"> </w:t>
      </w:r>
      <w:r w:rsidR="00A4222C" w:rsidRPr="001A0B66">
        <w:rPr>
          <w:rFonts w:ascii="FrankRuehl" w:hAnsi="FrankRuehl" w:cs="FrankRuehl"/>
          <w:sz w:val="28"/>
          <w:szCs w:val="28"/>
          <w:rtl/>
        </w:rPr>
        <w:t>–</w:t>
      </w:r>
      <w:r w:rsidR="00BA080D" w:rsidRPr="001A0B66">
        <w:rPr>
          <w:rFonts w:ascii="FrankRuehl" w:hAnsi="FrankRuehl" w:cs="FrankRuehl"/>
          <w:sz w:val="28"/>
          <w:szCs w:val="28"/>
          <w:rtl/>
        </w:rPr>
        <w:t xml:space="preserve"> מ</w:t>
      </w:r>
      <w:r w:rsidR="00A4222C" w:rsidRPr="001A0B66">
        <w:rPr>
          <w:rFonts w:ascii="FrankRuehl" w:hAnsi="FrankRuehl" w:cs="FrankRuehl"/>
          <w:sz w:val="28"/>
          <w:szCs w:val="28"/>
          <w:rtl/>
        </w:rPr>
        <w:t xml:space="preserve">עקרונות </w:t>
      </w:r>
      <w:r w:rsidR="00BA080D" w:rsidRPr="001A0B66">
        <w:rPr>
          <w:rFonts w:ascii="FrankRuehl" w:hAnsi="FrankRuehl" w:cs="FrankRuehl"/>
          <w:sz w:val="28"/>
          <w:szCs w:val="28"/>
          <w:rtl/>
        </w:rPr>
        <w:t>שלטון החוק</w:t>
      </w:r>
      <w:r w:rsidR="00A4222C" w:rsidRPr="001A0B66">
        <w:rPr>
          <w:rFonts w:ascii="FrankRuehl" w:hAnsi="FrankRuehl" w:cs="FrankRuehl"/>
          <w:sz w:val="28"/>
          <w:szCs w:val="28"/>
          <w:rtl/>
        </w:rPr>
        <w:t xml:space="preserve"> וזכויות האדם</w:t>
      </w:r>
      <w:r w:rsidR="00857749" w:rsidRPr="001A0B66">
        <w:rPr>
          <w:rFonts w:ascii="FrankRuehl" w:hAnsi="FrankRuehl" w:cs="FrankRuehl"/>
          <w:sz w:val="28"/>
          <w:szCs w:val="28"/>
          <w:rtl/>
        </w:rPr>
        <w:t>, מובילה אותנו למסקנה כי הדרך</w:t>
      </w:r>
      <w:r w:rsidR="00412B93" w:rsidRPr="001A0B66">
        <w:rPr>
          <w:rFonts w:ascii="FrankRuehl" w:hAnsi="FrankRuehl" w:cs="FrankRuehl"/>
          <w:sz w:val="28"/>
          <w:szCs w:val="28"/>
          <w:rtl/>
        </w:rPr>
        <w:t xml:space="preserve"> להפחית את הפגיעה הנגרמת לפרט מסמכויות </w:t>
      </w:r>
      <w:r w:rsidR="003D0CAA" w:rsidRPr="001A0B66">
        <w:rPr>
          <w:rFonts w:ascii="FrankRuehl" w:hAnsi="FrankRuehl" w:cs="FrankRuehl"/>
          <w:sz w:val="28"/>
          <w:szCs w:val="28"/>
          <w:rtl/>
        </w:rPr>
        <w:t>החירום</w:t>
      </w:r>
      <w:r w:rsidR="00412B93" w:rsidRPr="001A0B66">
        <w:rPr>
          <w:rFonts w:ascii="FrankRuehl" w:hAnsi="FrankRuehl" w:cs="FrankRuehl"/>
          <w:sz w:val="28"/>
          <w:szCs w:val="28"/>
          <w:rtl/>
        </w:rPr>
        <w:t xml:space="preserve"> היא </w:t>
      </w:r>
      <w:r w:rsidR="00B91418" w:rsidRPr="001A0B66">
        <w:rPr>
          <w:rFonts w:ascii="FrankRuehl" w:hAnsi="FrankRuehl" w:cs="FrankRuehl"/>
          <w:sz w:val="28"/>
          <w:szCs w:val="28"/>
          <w:rtl/>
        </w:rPr>
        <w:t xml:space="preserve">לזהות את "אי-חריגותן" במישור המעשה, </w:t>
      </w:r>
      <w:r w:rsidR="00412B93" w:rsidRPr="001A0B66">
        <w:rPr>
          <w:rFonts w:ascii="FrankRuehl" w:hAnsi="FrankRuehl" w:cs="FrankRuehl"/>
          <w:sz w:val="28"/>
          <w:szCs w:val="28"/>
          <w:rtl/>
        </w:rPr>
        <w:t>ולקרב אותן ככל הניתן לגדר ההגנות המקובלות על פי עקרונות שלטון החוק.</w:t>
      </w:r>
      <w:r w:rsidR="00B91418" w:rsidRPr="001A0B66">
        <w:rPr>
          <w:rStyle w:val="FootnoteReference"/>
          <w:rFonts w:ascii="FrankRuehl" w:hAnsi="FrankRuehl" w:cs="FrankRuehl"/>
          <w:sz w:val="28"/>
          <w:szCs w:val="28"/>
          <w:rtl/>
        </w:rPr>
        <w:footnoteReference w:id="14"/>
      </w:r>
    </w:p>
    <w:p w14:paraId="2917C1B4" w14:textId="77777777" w:rsidR="00CF0C3D" w:rsidRPr="001A0B66" w:rsidRDefault="00CF0C3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טעם </w:t>
      </w:r>
      <w:r w:rsidR="008E2DAA" w:rsidRPr="001A0B66">
        <w:rPr>
          <w:rFonts w:ascii="FrankRuehl" w:hAnsi="FrankRuehl" w:cs="FrankRuehl"/>
          <w:sz w:val="28"/>
          <w:szCs w:val="28"/>
          <w:rtl/>
        </w:rPr>
        <w:t>שני</w:t>
      </w:r>
      <w:r w:rsidRPr="001A0B66">
        <w:rPr>
          <w:rFonts w:ascii="FrankRuehl" w:hAnsi="FrankRuehl" w:cs="FrankRuehl"/>
          <w:sz w:val="28"/>
          <w:szCs w:val="28"/>
          <w:rtl/>
        </w:rPr>
        <w:t xml:space="preserve"> שבשלו אנו מתמקדים </w:t>
      </w:r>
      <w:r w:rsidR="004859BB" w:rsidRPr="001A0B66">
        <w:rPr>
          <w:rFonts w:ascii="FrankRuehl" w:hAnsi="FrankRuehl" w:cs="FrankRuehl"/>
          <w:sz w:val="28"/>
          <w:szCs w:val="28"/>
          <w:rtl/>
        </w:rPr>
        <w:t>באפשרות ל</w:t>
      </w:r>
      <w:r w:rsidRPr="001A0B66">
        <w:rPr>
          <w:rFonts w:ascii="FrankRuehl" w:hAnsi="FrankRuehl" w:cs="FrankRuehl"/>
          <w:sz w:val="28"/>
          <w:szCs w:val="28"/>
          <w:rtl/>
        </w:rPr>
        <w:t>שנו</w:t>
      </w:r>
      <w:r w:rsidR="004859BB" w:rsidRPr="001A0B66">
        <w:rPr>
          <w:rFonts w:ascii="FrankRuehl" w:hAnsi="FrankRuehl" w:cs="FrankRuehl"/>
          <w:sz w:val="28"/>
          <w:szCs w:val="28"/>
          <w:rtl/>
        </w:rPr>
        <w:t>ת</w:t>
      </w:r>
      <w:r w:rsidRPr="001A0B66">
        <w:rPr>
          <w:rFonts w:ascii="FrankRuehl" w:hAnsi="FrankRuehl" w:cs="FrankRuehl"/>
          <w:sz w:val="28"/>
          <w:szCs w:val="28"/>
          <w:rtl/>
        </w:rPr>
        <w:t xml:space="preserve"> </w:t>
      </w:r>
      <w:r w:rsidR="004859BB" w:rsidRPr="001A0B66">
        <w:rPr>
          <w:rFonts w:ascii="FrankRuehl" w:hAnsi="FrankRuehl" w:cs="FrankRuehl"/>
          <w:sz w:val="28"/>
          <w:szCs w:val="28"/>
          <w:rtl/>
        </w:rPr>
        <w:t xml:space="preserve">את </w:t>
      </w:r>
      <w:r w:rsidRPr="001A0B66">
        <w:rPr>
          <w:rFonts w:ascii="FrankRuehl" w:hAnsi="FrankRuehl" w:cs="FrankRuehl"/>
          <w:sz w:val="28"/>
          <w:szCs w:val="28"/>
          <w:rtl/>
        </w:rPr>
        <w:t xml:space="preserve">מצב הדברים ביחס לראיות החסויות, להבדיל מביטול מלא של השימוש בהן, נובע מכך שאין הסכמה </w:t>
      </w:r>
      <w:r w:rsidR="004859BB" w:rsidRPr="001A0B66">
        <w:rPr>
          <w:rFonts w:ascii="FrankRuehl" w:hAnsi="FrankRuehl" w:cs="FrankRuehl"/>
          <w:sz w:val="28"/>
          <w:szCs w:val="28"/>
          <w:rtl/>
        </w:rPr>
        <w:t xml:space="preserve">מוחלטת </w:t>
      </w:r>
      <w:r w:rsidRPr="001A0B66">
        <w:rPr>
          <w:rFonts w:ascii="FrankRuehl" w:hAnsi="FrankRuehl" w:cs="FrankRuehl"/>
          <w:sz w:val="28"/>
          <w:szCs w:val="28"/>
          <w:rtl/>
        </w:rPr>
        <w:t xml:space="preserve">בינינו </w:t>
      </w:r>
      <w:r w:rsidR="00035D2F" w:rsidRPr="001A0B66">
        <w:rPr>
          <w:rFonts w:ascii="FrankRuehl" w:hAnsi="FrankRuehl" w:cs="FrankRuehl"/>
          <w:sz w:val="28"/>
          <w:szCs w:val="28"/>
          <w:rtl/>
        </w:rPr>
        <w:t xml:space="preserve">הכותבים </w:t>
      </w:r>
      <w:r w:rsidRPr="001A0B66">
        <w:rPr>
          <w:rFonts w:ascii="FrankRuehl" w:hAnsi="FrankRuehl" w:cs="FrankRuehl"/>
          <w:sz w:val="28"/>
          <w:szCs w:val="28"/>
          <w:rtl/>
        </w:rPr>
        <w:t xml:space="preserve">בשאלה </w:t>
      </w:r>
      <w:r w:rsidR="004859BB" w:rsidRPr="001A0B66">
        <w:rPr>
          <w:rFonts w:ascii="FrankRuehl" w:hAnsi="FrankRuehl" w:cs="FrankRuehl"/>
          <w:sz w:val="28"/>
          <w:szCs w:val="28"/>
          <w:rtl/>
        </w:rPr>
        <w:t xml:space="preserve">אם </w:t>
      </w:r>
      <w:r w:rsidRPr="001A0B66">
        <w:rPr>
          <w:rFonts w:ascii="FrankRuehl" w:hAnsi="FrankRuehl" w:cs="FrankRuehl"/>
          <w:sz w:val="28"/>
          <w:szCs w:val="28"/>
          <w:rtl/>
        </w:rPr>
        <w:t>בנסיבות חירום יוצאות דופן</w:t>
      </w:r>
      <w:r w:rsidR="004859BB" w:rsidRPr="001A0B66">
        <w:rPr>
          <w:rFonts w:ascii="FrankRuehl" w:hAnsi="FrankRuehl" w:cs="FrankRuehl"/>
          <w:sz w:val="28"/>
          <w:szCs w:val="28"/>
          <w:rtl/>
        </w:rPr>
        <w:t xml:space="preserve"> יש מנוס</w:t>
      </w:r>
      <w:r w:rsidRPr="001A0B66">
        <w:rPr>
          <w:rFonts w:ascii="FrankRuehl" w:hAnsi="FrankRuehl" w:cs="FrankRuehl"/>
          <w:sz w:val="28"/>
          <w:szCs w:val="28"/>
          <w:rtl/>
        </w:rPr>
        <w:t xml:space="preserve"> משימוש </w:t>
      </w:r>
      <w:r w:rsidR="009A07AC" w:rsidRPr="001A0B66">
        <w:rPr>
          <w:rFonts w:ascii="FrankRuehl" w:hAnsi="FrankRuehl" w:cs="FrankRuehl"/>
          <w:sz w:val="28"/>
          <w:szCs w:val="28"/>
          <w:rtl/>
        </w:rPr>
        <w:t>מבוקר</w:t>
      </w:r>
      <w:r w:rsidR="00A4222C" w:rsidRPr="001A0B66">
        <w:rPr>
          <w:rFonts w:ascii="FrankRuehl" w:hAnsi="FrankRuehl" w:cs="FrankRuehl"/>
          <w:sz w:val="28"/>
          <w:szCs w:val="28"/>
          <w:rtl/>
        </w:rPr>
        <w:t xml:space="preserve"> </w:t>
      </w:r>
      <w:r w:rsidRPr="001A0B66">
        <w:rPr>
          <w:rFonts w:ascii="FrankRuehl" w:hAnsi="FrankRuehl" w:cs="FrankRuehl"/>
          <w:sz w:val="28"/>
          <w:szCs w:val="28"/>
          <w:rtl/>
        </w:rPr>
        <w:t xml:space="preserve">בסמכויות חירום </w:t>
      </w:r>
      <w:r w:rsidRPr="001A0B66">
        <w:rPr>
          <w:rFonts w:ascii="FrankRuehl" w:hAnsi="FrankRuehl" w:cs="FrankRuehl"/>
          <w:sz w:val="28"/>
          <w:szCs w:val="28"/>
          <w:rtl/>
        </w:rPr>
        <w:lastRenderedPageBreak/>
        <w:t>מסוימות – כאלו שהן חמורות פחות ממעצר מנהלי (שלו אנו שותפים בהתנגדותנו) אך עדיין קשות ונשענות על ראיות חסויות.</w:t>
      </w:r>
      <w:r w:rsidR="00947788" w:rsidRPr="001A0B66">
        <w:rPr>
          <w:rFonts w:ascii="FrankRuehl" w:hAnsi="FrankRuehl" w:cs="FrankRuehl"/>
          <w:sz w:val="28"/>
          <w:szCs w:val="28"/>
          <w:rtl/>
        </w:rPr>
        <w:t xml:space="preserve"> </w:t>
      </w:r>
    </w:p>
    <w:p w14:paraId="0F6EE990" w14:textId="77777777" w:rsidR="00595635" w:rsidRPr="001A0B66" w:rsidRDefault="008E2DAA" w:rsidP="00F307FB">
      <w:pPr>
        <w:pStyle w:val="FootnoteText"/>
        <w:spacing w:after="60" w:line="276" w:lineRule="auto"/>
        <w:ind w:left="26" w:firstLine="720"/>
        <w:rPr>
          <w:rFonts w:ascii="FrankRuehl" w:hAnsi="FrankRuehl" w:cs="FrankRuehl"/>
          <w:sz w:val="28"/>
          <w:szCs w:val="28"/>
          <w:rtl/>
        </w:rPr>
      </w:pPr>
      <w:r w:rsidRPr="001A0B66">
        <w:rPr>
          <w:rFonts w:ascii="FrankRuehl" w:hAnsi="FrankRuehl" w:cs="FrankRuehl"/>
          <w:sz w:val="28"/>
          <w:szCs w:val="28"/>
          <w:rtl/>
        </w:rPr>
        <w:t xml:space="preserve">שלישית, </w:t>
      </w:r>
      <w:r w:rsidR="00736F46" w:rsidRPr="001A0B66">
        <w:rPr>
          <w:rFonts w:ascii="FrankRuehl" w:hAnsi="FrankRuehl" w:cs="FrankRuehl"/>
          <w:sz w:val="28"/>
          <w:szCs w:val="28"/>
          <w:rtl/>
        </w:rPr>
        <w:t xml:space="preserve">מאחר </w:t>
      </w:r>
      <w:r w:rsidR="00E17597" w:rsidRPr="001A0B66">
        <w:rPr>
          <w:rFonts w:ascii="FrankRuehl" w:hAnsi="FrankRuehl" w:cs="FrankRuehl"/>
          <w:sz w:val="28"/>
          <w:szCs w:val="28"/>
          <w:rtl/>
        </w:rPr>
        <w:t>ש</w:t>
      </w:r>
      <w:r w:rsidR="00736F46" w:rsidRPr="001A0B66">
        <w:rPr>
          <w:rFonts w:ascii="FrankRuehl" w:hAnsi="FrankRuehl" w:cs="FrankRuehl"/>
          <w:sz w:val="28"/>
          <w:szCs w:val="28"/>
          <w:rtl/>
        </w:rPr>
        <w:t>מעצר על פי ראיות חסויות מקובל גם כחלק מ</w:t>
      </w:r>
      <w:r w:rsidR="00D967AB" w:rsidRPr="001A0B66">
        <w:rPr>
          <w:rFonts w:ascii="FrankRuehl" w:hAnsi="FrankRuehl" w:cs="FrankRuehl"/>
          <w:sz w:val="28"/>
          <w:szCs w:val="28"/>
          <w:rtl/>
        </w:rPr>
        <w:t>שלב המעצר ב</w:t>
      </w:r>
      <w:r w:rsidR="00736F46" w:rsidRPr="001A0B66">
        <w:rPr>
          <w:rFonts w:ascii="FrankRuehl" w:hAnsi="FrankRuehl" w:cs="FrankRuehl"/>
          <w:sz w:val="28"/>
          <w:szCs w:val="28"/>
          <w:rtl/>
        </w:rPr>
        <w:t>הליך הפלילי</w:t>
      </w:r>
      <w:r w:rsidR="003D0CAA" w:rsidRPr="001A0B66">
        <w:rPr>
          <w:rFonts w:ascii="FrankRuehl" w:hAnsi="FrankRuehl" w:cs="FrankRuehl"/>
          <w:sz w:val="28"/>
          <w:szCs w:val="28"/>
          <w:rtl/>
        </w:rPr>
        <w:t xml:space="preserve">, </w:t>
      </w:r>
      <w:r w:rsidR="00736F46" w:rsidRPr="001A0B66">
        <w:rPr>
          <w:rFonts w:ascii="FrankRuehl" w:hAnsi="FrankRuehl" w:cs="FrankRuehl"/>
          <w:sz w:val="28"/>
          <w:szCs w:val="28"/>
          <w:rtl/>
        </w:rPr>
        <w:t xml:space="preserve">קשה להתנגד לו כליל במסגרת סמכויות החירום. </w:t>
      </w:r>
      <w:r w:rsidR="00E17597" w:rsidRPr="001A0B66">
        <w:rPr>
          <w:rFonts w:ascii="FrankRuehl" w:hAnsi="FrankRuehl" w:cs="FrankRuehl"/>
          <w:sz w:val="28"/>
          <w:szCs w:val="28"/>
          <w:rtl/>
        </w:rPr>
        <w:t>הבדל</w:t>
      </w:r>
      <w:r w:rsidR="00736F46" w:rsidRPr="001A0B66">
        <w:rPr>
          <w:rFonts w:ascii="FrankRuehl" w:hAnsi="FrankRuehl" w:cs="FrankRuehl"/>
          <w:sz w:val="28"/>
          <w:szCs w:val="28"/>
          <w:rtl/>
        </w:rPr>
        <w:t xml:space="preserve"> </w:t>
      </w:r>
      <w:r w:rsidR="00AF6882" w:rsidRPr="001A0B66">
        <w:rPr>
          <w:rFonts w:ascii="FrankRuehl" w:hAnsi="FrankRuehl" w:cs="FrankRuehl"/>
          <w:sz w:val="28"/>
          <w:szCs w:val="28"/>
          <w:rtl/>
        </w:rPr>
        <w:t xml:space="preserve">עיקרי </w:t>
      </w:r>
      <w:r w:rsidR="00736F46" w:rsidRPr="001A0B66">
        <w:rPr>
          <w:rFonts w:ascii="FrankRuehl" w:hAnsi="FrankRuehl" w:cs="FrankRuehl"/>
          <w:sz w:val="28"/>
          <w:szCs w:val="28"/>
          <w:rtl/>
        </w:rPr>
        <w:t xml:space="preserve">בין </w:t>
      </w:r>
      <w:r w:rsidR="00595635" w:rsidRPr="001A0B66">
        <w:rPr>
          <w:rFonts w:ascii="FrankRuehl" w:hAnsi="FrankRuehl" w:cs="FrankRuehl"/>
          <w:sz w:val="28"/>
          <w:szCs w:val="28"/>
          <w:rtl/>
        </w:rPr>
        <w:t>השימוש בראיות חסויות בנתיב הפלילי</w:t>
      </w:r>
      <w:r w:rsidR="00736F46" w:rsidRPr="001A0B66">
        <w:rPr>
          <w:rFonts w:ascii="FrankRuehl" w:hAnsi="FrankRuehl" w:cs="FrankRuehl"/>
          <w:sz w:val="28"/>
          <w:szCs w:val="28"/>
          <w:rtl/>
        </w:rPr>
        <w:t xml:space="preserve"> ל</w:t>
      </w:r>
      <w:r w:rsidR="00F931F8" w:rsidRPr="001A0B66">
        <w:rPr>
          <w:rFonts w:ascii="FrankRuehl" w:hAnsi="FrankRuehl" w:cs="FrankRuehl"/>
          <w:sz w:val="28"/>
          <w:szCs w:val="28"/>
          <w:rtl/>
        </w:rPr>
        <w:t>בין השימוש בהן ב</w:t>
      </w:r>
      <w:r w:rsidR="00736F46" w:rsidRPr="001A0B66">
        <w:rPr>
          <w:rFonts w:ascii="FrankRuehl" w:hAnsi="FrankRuehl" w:cs="FrankRuehl"/>
          <w:sz w:val="28"/>
          <w:szCs w:val="28"/>
          <w:rtl/>
        </w:rPr>
        <w:t xml:space="preserve">נתיב סמכויות החירום הוא שהשימוש </w:t>
      </w:r>
      <w:r w:rsidR="00F931F8" w:rsidRPr="001A0B66">
        <w:rPr>
          <w:rFonts w:ascii="FrankRuehl" w:hAnsi="FrankRuehl" w:cs="FrankRuehl"/>
          <w:sz w:val="28"/>
          <w:szCs w:val="28"/>
          <w:rtl/>
        </w:rPr>
        <w:t xml:space="preserve">בהן </w:t>
      </w:r>
      <w:r w:rsidR="00736F46" w:rsidRPr="001A0B66">
        <w:rPr>
          <w:rFonts w:ascii="FrankRuehl" w:hAnsi="FrankRuehl" w:cs="FrankRuehl"/>
          <w:sz w:val="28"/>
          <w:szCs w:val="28"/>
          <w:rtl/>
        </w:rPr>
        <w:t>בהליך הפלילי</w:t>
      </w:r>
      <w:r w:rsidR="00595635" w:rsidRPr="001A0B66">
        <w:rPr>
          <w:rFonts w:ascii="FrankRuehl" w:hAnsi="FrankRuehl" w:cs="FrankRuehl"/>
          <w:sz w:val="28"/>
          <w:szCs w:val="28"/>
          <w:rtl/>
        </w:rPr>
        <w:t xml:space="preserve"> מוגבל מאוד – בדרך כלל הוא יכול לבסס עילת מעצר </w:t>
      </w:r>
      <w:r w:rsidR="00E17597" w:rsidRPr="001A0B66">
        <w:rPr>
          <w:rFonts w:ascii="FrankRuehl" w:hAnsi="FrankRuehl" w:cs="FrankRuehl"/>
          <w:sz w:val="28"/>
          <w:szCs w:val="28"/>
          <w:rtl/>
        </w:rPr>
        <w:t xml:space="preserve">למשך </w:t>
      </w:r>
      <w:r w:rsidR="00595635" w:rsidRPr="001A0B66">
        <w:rPr>
          <w:rFonts w:ascii="FrankRuehl" w:hAnsi="FrankRuehl" w:cs="FrankRuehl"/>
          <w:sz w:val="28"/>
          <w:szCs w:val="28"/>
          <w:rtl/>
        </w:rPr>
        <w:t>עד שלושים יום</w:t>
      </w:r>
      <w:r w:rsidR="00AF6882" w:rsidRPr="001A0B66">
        <w:rPr>
          <w:rFonts w:ascii="FrankRuehl" w:hAnsi="FrankRuehl" w:cs="FrankRuehl"/>
          <w:sz w:val="28"/>
          <w:szCs w:val="28"/>
          <w:rtl/>
        </w:rPr>
        <w:t>;</w:t>
      </w:r>
      <w:r w:rsidR="004A6DC8" w:rsidRPr="001A0B66">
        <w:rPr>
          <w:rStyle w:val="FootnoteReference"/>
          <w:rFonts w:ascii="FrankRuehl" w:hAnsi="FrankRuehl" w:cs="FrankRuehl"/>
          <w:sz w:val="28"/>
          <w:szCs w:val="28"/>
          <w:rtl/>
        </w:rPr>
        <w:footnoteReference w:id="15"/>
      </w:r>
      <w:r w:rsidR="00035D2F" w:rsidRPr="001A0B66">
        <w:rPr>
          <w:rFonts w:ascii="FrankRuehl" w:hAnsi="FrankRuehl" w:cs="FrankRuehl"/>
          <w:sz w:val="28"/>
          <w:szCs w:val="28"/>
          <w:rtl/>
        </w:rPr>
        <w:t xml:space="preserve"> הגבלה זו מאזנת </w:t>
      </w:r>
      <w:r w:rsidR="0033760C" w:rsidRPr="001A0B66">
        <w:rPr>
          <w:rFonts w:ascii="FrankRuehl" w:hAnsi="FrankRuehl" w:cs="FrankRuehl"/>
          <w:sz w:val="28"/>
          <w:szCs w:val="28"/>
          <w:rtl/>
        </w:rPr>
        <w:t xml:space="preserve">חלקית </w:t>
      </w:r>
      <w:r w:rsidR="00035D2F" w:rsidRPr="001A0B66">
        <w:rPr>
          <w:rFonts w:ascii="FrankRuehl" w:hAnsi="FrankRuehl" w:cs="FrankRuehl"/>
          <w:sz w:val="28"/>
          <w:szCs w:val="28"/>
          <w:rtl/>
        </w:rPr>
        <w:t>את הפגיעה הקשה הגלומה בהן</w:t>
      </w:r>
      <w:r w:rsidR="0033760C" w:rsidRPr="001A0B66">
        <w:rPr>
          <w:rFonts w:ascii="FrankRuehl" w:hAnsi="FrankRuehl" w:cs="FrankRuehl"/>
          <w:sz w:val="28"/>
          <w:szCs w:val="28"/>
          <w:rtl/>
        </w:rPr>
        <w:t>, בראיות החסויות</w:t>
      </w:r>
      <w:r w:rsidR="00AF6882" w:rsidRPr="001A0B66">
        <w:rPr>
          <w:rFonts w:ascii="FrankRuehl" w:hAnsi="FrankRuehl" w:cs="FrankRuehl"/>
          <w:sz w:val="28"/>
          <w:szCs w:val="28"/>
          <w:rtl/>
        </w:rPr>
        <w:t xml:space="preserve">. ניתן על כן לומר ששאלת הראיות החסויות היא, בחלקה, </w:t>
      </w:r>
      <w:r w:rsidR="00584FE4" w:rsidRPr="001A0B66">
        <w:rPr>
          <w:rFonts w:ascii="FrankRuehl" w:hAnsi="FrankRuehl" w:cs="FrankRuehl"/>
          <w:sz w:val="28"/>
          <w:szCs w:val="28"/>
          <w:rtl/>
        </w:rPr>
        <w:t>שאלה של מידה</w:t>
      </w:r>
      <w:r w:rsidR="0033760C" w:rsidRPr="001A0B66">
        <w:rPr>
          <w:rFonts w:ascii="FrankRuehl" w:hAnsi="FrankRuehl" w:cs="FrankRuehl"/>
          <w:sz w:val="28"/>
          <w:szCs w:val="28"/>
          <w:rtl/>
        </w:rPr>
        <w:t xml:space="preserve"> – מידת ההגבלה על השימוש בהן ועל היקף שלילת החירות הנשענת עליהן –</w:t>
      </w:r>
      <w:r w:rsidR="00BC4059" w:rsidRPr="001A0B66">
        <w:rPr>
          <w:rFonts w:ascii="FrankRuehl" w:hAnsi="FrankRuehl" w:cs="FrankRuehl"/>
          <w:sz w:val="28"/>
          <w:szCs w:val="28"/>
          <w:rtl/>
        </w:rPr>
        <w:t xml:space="preserve"> </w:t>
      </w:r>
      <w:r w:rsidR="00584FE4" w:rsidRPr="001A0B66">
        <w:rPr>
          <w:rFonts w:ascii="FrankRuehl" w:hAnsi="FrankRuehl" w:cs="FrankRuehl"/>
          <w:sz w:val="28"/>
          <w:szCs w:val="28"/>
          <w:rtl/>
        </w:rPr>
        <w:t>ולא של מהות</w:t>
      </w:r>
      <w:r w:rsidR="00035D2F" w:rsidRPr="001A0B66">
        <w:rPr>
          <w:rFonts w:ascii="FrankRuehl" w:hAnsi="FrankRuehl" w:cs="FrankRuehl"/>
          <w:sz w:val="28"/>
          <w:szCs w:val="28"/>
          <w:rtl/>
        </w:rPr>
        <w:t>.</w:t>
      </w:r>
      <w:r w:rsidR="00035D2F" w:rsidRPr="001A0B66">
        <w:rPr>
          <w:rStyle w:val="FootnoteReference"/>
          <w:rFonts w:ascii="FrankRuehl" w:hAnsi="FrankRuehl" w:cs="FrankRuehl"/>
          <w:sz w:val="28"/>
          <w:szCs w:val="28"/>
          <w:rtl/>
        </w:rPr>
        <w:footnoteReference w:id="16"/>
      </w:r>
      <w:r w:rsidR="00595635" w:rsidRPr="001A0B66">
        <w:rPr>
          <w:rFonts w:ascii="FrankRuehl" w:hAnsi="FrankRuehl" w:cs="FrankRuehl"/>
          <w:sz w:val="28"/>
          <w:szCs w:val="28"/>
          <w:rtl/>
        </w:rPr>
        <w:t xml:space="preserve"> </w:t>
      </w:r>
      <w:r w:rsidR="00736F46" w:rsidRPr="001A0B66">
        <w:rPr>
          <w:rFonts w:ascii="FrankRuehl" w:hAnsi="FrankRuehl" w:cs="FrankRuehl"/>
          <w:sz w:val="28"/>
          <w:szCs w:val="28"/>
          <w:rtl/>
        </w:rPr>
        <w:t xml:space="preserve">מנקודת מוצא זו </w:t>
      </w:r>
      <w:r w:rsidR="00F931F8" w:rsidRPr="001A0B66">
        <w:rPr>
          <w:rFonts w:ascii="FrankRuehl" w:hAnsi="FrankRuehl" w:cs="FrankRuehl"/>
          <w:sz w:val="28"/>
          <w:szCs w:val="28"/>
          <w:rtl/>
        </w:rPr>
        <w:t>–</w:t>
      </w:r>
      <w:r w:rsidR="00595635" w:rsidRPr="001A0B66">
        <w:rPr>
          <w:rFonts w:ascii="FrankRuehl" w:hAnsi="FrankRuehl" w:cs="FrankRuehl"/>
          <w:sz w:val="28"/>
          <w:szCs w:val="28"/>
          <w:rtl/>
        </w:rPr>
        <w:t xml:space="preserve"> </w:t>
      </w:r>
      <w:r w:rsidR="00CE3F30" w:rsidRPr="001A0B66">
        <w:rPr>
          <w:rFonts w:ascii="FrankRuehl" w:hAnsi="FrankRuehl" w:cs="FrankRuehl"/>
          <w:sz w:val="28"/>
          <w:szCs w:val="28"/>
          <w:rtl/>
        </w:rPr>
        <w:t xml:space="preserve">לפיה </w:t>
      </w:r>
      <w:r w:rsidR="00595635" w:rsidRPr="001A0B66">
        <w:rPr>
          <w:rFonts w:ascii="FrankRuehl" w:hAnsi="FrankRuehl" w:cs="FrankRuehl"/>
          <w:sz w:val="28"/>
          <w:szCs w:val="28"/>
          <w:rtl/>
        </w:rPr>
        <w:t xml:space="preserve">מעצר הנסמך על ראיות חסויות </w:t>
      </w:r>
      <w:r w:rsidR="00E17597" w:rsidRPr="001A0B66">
        <w:rPr>
          <w:rFonts w:ascii="FrankRuehl" w:hAnsi="FrankRuehl" w:cs="FrankRuehl"/>
          <w:sz w:val="28"/>
          <w:szCs w:val="28"/>
          <w:rtl/>
        </w:rPr>
        <w:t xml:space="preserve">הוא </w:t>
      </w:r>
      <w:r w:rsidR="00595635" w:rsidRPr="001A0B66">
        <w:rPr>
          <w:rFonts w:ascii="FrankRuehl" w:hAnsi="FrankRuehl" w:cs="FrankRuehl"/>
          <w:sz w:val="28"/>
          <w:szCs w:val="28"/>
          <w:rtl/>
        </w:rPr>
        <w:t>חלק משלטון החוק אך ורק כשהוא מוגבל ביותר</w:t>
      </w:r>
      <w:r w:rsidR="00736F46" w:rsidRPr="001A0B66">
        <w:rPr>
          <w:rFonts w:ascii="FrankRuehl" w:hAnsi="FrankRuehl" w:cs="FrankRuehl"/>
          <w:sz w:val="28"/>
          <w:szCs w:val="28"/>
          <w:rtl/>
        </w:rPr>
        <w:t xml:space="preserve"> </w:t>
      </w:r>
      <w:r w:rsidR="00F931F8" w:rsidRPr="001A0B66">
        <w:rPr>
          <w:rFonts w:ascii="FrankRuehl" w:hAnsi="FrankRuehl" w:cs="FrankRuehl"/>
          <w:sz w:val="28"/>
          <w:szCs w:val="28"/>
          <w:rtl/>
        </w:rPr>
        <w:t>–</w:t>
      </w:r>
      <w:r w:rsidR="00595635" w:rsidRPr="001A0B66">
        <w:rPr>
          <w:rFonts w:ascii="FrankRuehl" w:hAnsi="FrankRuehl" w:cs="FrankRuehl"/>
          <w:sz w:val="28"/>
          <w:szCs w:val="28"/>
          <w:rtl/>
        </w:rPr>
        <w:t xml:space="preserve"> נוכל לבחון את הדרכים המתאימות להגביל</w:t>
      </w:r>
      <w:r w:rsidR="00F931F8" w:rsidRPr="001A0B66">
        <w:rPr>
          <w:rFonts w:ascii="FrankRuehl" w:hAnsi="FrankRuehl" w:cs="FrankRuehl"/>
          <w:sz w:val="28"/>
          <w:szCs w:val="28"/>
          <w:rtl/>
        </w:rPr>
        <w:t xml:space="preserve"> ולהפעיל בקרה </w:t>
      </w:r>
      <w:r w:rsidR="00035D2F" w:rsidRPr="001A0B66">
        <w:rPr>
          <w:rFonts w:ascii="FrankRuehl" w:hAnsi="FrankRuehl" w:cs="FrankRuehl"/>
          <w:sz w:val="28"/>
          <w:szCs w:val="28"/>
          <w:rtl/>
        </w:rPr>
        <w:t>אפקטיבית</w:t>
      </w:r>
      <w:r w:rsidR="00E17597" w:rsidRPr="001A0B66">
        <w:rPr>
          <w:rFonts w:ascii="FrankRuehl" w:hAnsi="FrankRuehl" w:cs="FrankRuehl"/>
          <w:sz w:val="28"/>
          <w:szCs w:val="28"/>
          <w:rtl/>
        </w:rPr>
        <w:t xml:space="preserve"> </w:t>
      </w:r>
      <w:r w:rsidR="00F931F8" w:rsidRPr="001A0B66">
        <w:rPr>
          <w:rFonts w:ascii="FrankRuehl" w:hAnsi="FrankRuehl" w:cs="FrankRuehl"/>
          <w:sz w:val="28"/>
          <w:szCs w:val="28"/>
          <w:rtl/>
        </w:rPr>
        <w:t xml:space="preserve">על </w:t>
      </w:r>
      <w:r w:rsidR="00595635" w:rsidRPr="001A0B66">
        <w:rPr>
          <w:rFonts w:ascii="FrankRuehl" w:hAnsi="FrankRuehl" w:cs="FrankRuehl"/>
          <w:sz w:val="28"/>
          <w:szCs w:val="28"/>
          <w:rtl/>
        </w:rPr>
        <w:t>השימוש</w:t>
      </w:r>
      <w:r w:rsidR="00EB3DF1" w:rsidRPr="001A0B66">
        <w:rPr>
          <w:rFonts w:ascii="FrankRuehl" w:hAnsi="FrankRuehl" w:cs="FrankRuehl"/>
          <w:sz w:val="28"/>
          <w:szCs w:val="28"/>
          <w:rtl/>
        </w:rPr>
        <w:t xml:space="preserve"> הנרחב ורב</w:t>
      </w:r>
      <w:r w:rsidR="00E17597" w:rsidRPr="001A0B66">
        <w:rPr>
          <w:rFonts w:ascii="FrankRuehl" w:hAnsi="FrankRuehl" w:cs="FrankRuehl"/>
          <w:sz w:val="28"/>
          <w:szCs w:val="28"/>
          <w:rtl/>
        </w:rPr>
        <w:t xml:space="preserve"> </w:t>
      </w:r>
      <w:r w:rsidR="00EB3DF1" w:rsidRPr="001A0B66">
        <w:rPr>
          <w:rFonts w:ascii="FrankRuehl" w:hAnsi="FrankRuehl" w:cs="FrankRuehl"/>
          <w:sz w:val="28"/>
          <w:szCs w:val="28"/>
          <w:rtl/>
        </w:rPr>
        <w:t>ההשלכות ב</w:t>
      </w:r>
      <w:r w:rsidR="00595635" w:rsidRPr="001A0B66">
        <w:rPr>
          <w:rFonts w:ascii="FrankRuehl" w:hAnsi="FrankRuehl" w:cs="FrankRuehl"/>
          <w:sz w:val="28"/>
          <w:szCs w:val="28"/>
          <w:rtl/>
        </w:rPr>
        <w:t xml:space="preserve">ראיות חסויות </w:t>
      </w:r>
      <w:r w:rsidR="00EB3DF1" w:rsidRPr="001A0B66">
        <w:rPr>
          <w:rFonts w:ascii="FrankRuehl" w:hAnsi="FrankRuehl" w:cs="FrankRuehl"/>
          <w:sz w:val="28"/>
          <w:szCs w:val="28"/>
          <w:rtl/>
        </w:rPr>
        <w:t>בגדרן של סמכויות החירום.</w:t>
      </w:r>
      <w:r w:rsidR="00735C5B" w:rsidRPr="001A0B66">
        <w:t xml:space="preserve"> </w:t>
      </w:r>
    </w:p>
    <w:p w14:paraId="2D03049E" w14:textId="77777777" w:rsidR="00CF0C3D" w:rsidRPr="001A0B66" w:rsidRDefault="00DD5EBB" w:rsidP="00F307FB">
      <w:pPr>
        <w:pStyle w:val="a0"/>
        <w:spacing w:line="276" w:lineRule="auto"/>
        <w:rPr>
          <w:rFonts w:ascii="FrankRuehl" w:hAnsi="FrankRuehl" w:cs="FrankRuehl"/>
          <w:sz w:val="28"/>
          <w:szCs w:val="28"/>
          <w:rtl/>
        </w:rPr>
      </w:pPr>
      <w:bookmarkStart w:id="22" w:name="_Hlk41473698"/>
      <w:r w:rsidRPr="001A0B66">
        <w:rPr>
          <w:rFonts w:ascii="FrankRuehl" w:hAnsi="FrankRuehl" w:cs="FrankRuehl"/>
          <w:sz w:val="28"/>
          <w:szCs w:val="28"/>
          <w:rtl/>
        </w:rPr>
        <w:t>טעם רביעי שבשלו</w:t>
      </w:r>
      <w:r w:rsidR="00DA59BA" w:rsidRPr="001A0B66">
        <w:rPr>
          <w:rFonts w:ascii="FrankRuehl" w:hAnsi="FrankRuehl" w:cs="FrankRuehl"/>
          <w:sz w:val="28"/>
          <w:szCs w:val="28"/>
          <w:rtl/>
        </w:rPr>
        <w:t xml:space="preserve"> התמקדנו בהגבל</w:t>
      </w:r>
      <w:r w:rsidR="00E17597" w:rsidRPr="001A0B66">
        <w:rPr>
          <w:rFonts w:ascii="FrankRuehl" w:hAnsi="FrankRuehl" w:cs="FrankRuehl"/>
          <w:sz w:val="28"/>
          <w:szCs w:val="28"/>
          <w:rtl/>
        </w:rPr>
        <w:t>ת המעצר המנהלי</w:t>
      </w:r>
      <w:r w:rsidR="007E5D4F" w:rsidRPr="001A0B66">
        <w:rPr>
          <w:rFonts w:ascii="FrankRuehl" w:hAnsi="FrankRuehl" w:cs="FrankRuehl"/>
          <w:sz w:val="28"/>
          <w:szCs w:val="28"/>
          <w:rtl/>
        </w:rPr>
        <w:t xml:space="preserve"> וסמכויות חירום אחרות</w:t>
      </w:r>
      <w:r w:rsidR="00DA59BA" w:rsidRPr="001A0B66">
        <w:rPr>
          <w:rFonts w:ascii="FrankRuehl" w:hAnsi="FrankRuehl" w:cs="FrankRuehl"/>
          <w:sz w:val="28"/>
          <w:szCs w:val="28"/>
          <w:rtl/>
        </w:rPr>
        <w:t xml:space="preserve"> ולא בביטול</w:t>
      </w:r>
      <w:r w:rsidR="007E5D4F" w:rsidRPr="001A0B66">
        <w:rPr>
          <w:rFonts w:ascii="FrankRuehl" w:hAnsi="FrankRuehl" w:cs="FrankRuehl"/>
          <w:sz w:val="28"/>
          <w:szCs w:val="28"/>
          <w:rtl/>
        </w:rPr>
        <w:t>ם</w:t>
      </w:r>
      <w:r w:rsidR="00DA59BA" w:rsidRPr="001A0B66">
        <w:rPr>
          <w:rFonts w:ascii="FrankRuehl" w:hAnsi="FrankRuehl" w:cs="FrankRuehl"/>
          <w:sz w:val="28"/>
          <w:szCs w:val="28"/>
          <w:rtl/>
        </w:rPr>
        <w:t xml:space="preserve"> </w:t>
      </w:r>
      <w:r w:rsidR="00CF0C3D" w:rsidRPr="001A0B66">
        <w:rPr>
          <w:rFonts w:ascii="FrankRuehl" w:hAnsi="FrankRuehl" w:cs="FrankRuehl"/>
          <w:sz w:val="28"/>
          <w:szCs w:val="28"/>
          <w:rtl/>
        </w:rPr>
        <w:t>ה</w:t>
      </w:r>
      <w:r w:rsidR="00CE3F30" w:rsidRPr="001A0B66">
        <w:rPr>
          <w:rFonts w:ascii="FrankRuehl" w:hAnsi="FrankRuehl" w:cs="FrankRuehl"/>
          <w:sz w:val="28"/>
          <w:szCs w:val="28"/>
          <w:rtl/>
        </w:rPr>
        <w:t>ו</w:t>
      </w:r>
      <w:r w:rsidR="00CF0C3D" w:rsidRPr="001A0B66">
        <w:rPr>
          <w:rFonts w:ascii="FrankRuehl" w:hAnsi="FrankRuehl" w:cs="FrankRuehl"/>
          <w:sz w:val="28"/>
          <w:szCs w:val="28"/>
          <w:rtl/>
        </w:rPr>
        <w:t>א</w:t>
      </w:r>
      <w:r w:rsidR="00E17597" w:rsidRPr="001A0B66">
        <w:rPr>
          <w:rFonts w:ascii="FrankRuehl" w:hAnsi="FrankRuehl" w:cs="FrankRuehl"/>
          <w:sz w:val="28"/>
          <w:szCs w:val="28"/>
          <w:rtl/>
        </w:rPr>
        <w:t xml:space="preserve"> </w:t>
      </w:r>
      <w:r w:rsidR="00CF0C3D" w:rsidRPr="001A0B66">
        <w:rPr>
          <w:rFonts w:ascii="FrankRuehl" w:hAnsi="FrankRuehl" w:cs="FrankRuehl"/>
          <w:sz w:val="28"/>
          <w:szCs w:val="28"/>
          <w:rtl/>
        </w:rPr>
        <w:t>תיאורי באופי</w:t>
      </w:r>
      <w:r w:rsidR="00CE3F30" w:rsidRPr="001A0B66">
        <w:rPr>
          <w:rFonts w:ascii="FrankRuehl" w:hAnsi="FrankRuehl" w:cs="FrankRuehl"/>
          <w:sz w:val="28"/>
          <w:szCs w:val="28"/>
          <w:rtl/>
        </w:rPr>
        <w:t>ו</w:t>
      </w:r>
      <w:r w:rsidR="00DA59BA" w:rsidRPr="001A0B66">
        <w:rPr>
          <w:rFonts w:ascii="FrankRuehl" w:hAnsi="FrankRuehl" w:cs="FrankRuehl"/>
          <w:sz w:val="28"/>
          <w:szCs w:val="28"/>
          <w:rtl/>
        </w:rPr>
        <w:t xml:space="preserve">, </w:t>
      </w:r>
      <w:r w:rsidR="00CF0C3D" w:rsidRPr="001A0B66">
        <w:rPr>
          <w:rFonts w:ascii="FrankRuehl" w:hAnsi="FrankRuehl" w:cs="FrankRuehl"/>
          <w:sz w:val="28"/>
          <w:szCs w:val="28"/>
          <w:rtl/>
        </w:rPr>
        <w:t xml:space="preserve">ומגיע </w:t>
      </w:r>
      <w:r w:rsidR="00CE3F30" w:rsidRPr="001A0B66">
        <w:rPr>
          <w:rFonts w:ascii="FrankRuehl" w:hAnsi="FrankRuehl" w:cs="FrankRuehl"/>
          <w:sz w:val="28"/>
          <w:szCs w:val="28"/>
          <w:rtl/>
        </w:rPr>
        <w:t xml:space="preserve">אף הוא </w:t>
      </w:r>
      <w:r w:rsidR="00CF0C3D" w:rsidRPr="001A0B66">
        <w:rPr>
          <w:rFonts w:ascii="FrankRuehl" w:hAnsi="FrankRuehl" w:cs="FrankRuehl"/>
          <w:sz w:val="28"/>
          <w:szCs w:val="28"/>
          <w:rtl/>
        </w:rPr>
        <w:t>מהשדה של משפט וחברה. ה</w:t>
      </w:r>
      <w:r w:rsidR="00CF5D52" w:rsidRPr="001A0B66">
        <w:rPr>
          <w:rFonts w:ascii="FrankRuehl" w:hAnsi="FrankRuehl" w:cs="FrankRuehl"/>
          <w:sz w:val="28"/>
          <w:szCs w:val="28"/>
          <w:rtl/>
        </w:rPr>
        <w:t xml:space="preserve">זכרנו לעיל את שמות </w:t>
      </w:r>
      <w:r w:rsidR="00CF0C3D" w:rsidRPr="001A0B66">
        <w:rPr>
          <w:rFonts w:ascii="FrankRuehl" w:hAnsi="FrankRuehl" w:cs="FrankRuehl"/>
          <w:sz w:val="28"/>
          <w:szCs w:val="28"/>
          <w:rtl/>
        </w:rPr>
        <w:t xml:space="preserve">יוזמי הצעת החוק, </w:t>
      </w:r>
      <w:r w:rsidR="00AD4978" w:rsidRPr="001A0B66">
        <w:rPr>
          <w:rFonts w:ascii="FrankRuehl" w:hAnsi="FrankRuehl" w:cs="FrankRuehl"/>
          <w:sz w:val="28"/>
          <w:szCs w:val="28"/>
          <w:rtl/>
        </w:rPr>
        <w:t xml:space="preserve">שייצגו </w:t>
      </w:r>
      <w:r w:rsidR="00CF0C3D" w:rsidRPr="001A0B66">
        <w:rPr>
          <w:rFonts w:ascii="FrankRuehl" w:hAnsi="FrankRuehl" w:cs="FrankRuehl"/>
          <w:sz w:val="28"/>
          <w:szCs w:val="28"/>
          <w:rtl/>
        </w:rPr>
        <w:t>את רוב חלקיה של הקשת הפוליטית הציונית בכנסת. חיבור לא</w:t>
      </w:r>
      <w:r w:rsidR="00E17597" w:rsidRPr="001A0B66">
        <w:rPr>
          <w:rFonts w:ascii="FrankRuehl" w:hAnsi="FrankRuehl" w:cs="FrankRuehl"/>
          <w:sz w:val="28"/>
          <w:szCs w:val="28"/>
          <w:rtl/>
        </w:rPr>
        <w:t xml:space="preserve"> </w:t>
      </w:r>
      <w:r w:rsidR="00CF0C3D" w:rsidRPr="001A0B66">
        <w:rPr>
          <w:rFonts w:ascii="FrankRuehl" w:hAnsi="FrankRuehl" w:cs="FrankRuehl"/>
          <w:sz w:val="28"/>
          <w:szCs w:val="28"/>
          <w:rtl/>
        </w:rPr>
        <w:t xml:space="preserve">טריוויאלי זה, בוודאי בהקשר של הסדר ביטחוני, הוא השתקפות של תופעה חשובה שכונתה </w:t>
      </w:r>
      <w:r w:rsidR="00E17597" w:rsidRPr="001A0B66">
        <w:rPr>
          <w:rFonts w:ascii="FrankRuehl" w:hAnsi="FrankRuehl" w:cs="FrankRuehl"/>
          <w:sz w:val="28"/>
          <w:szCs w:val="28"/>
          <w:rtl/>
        </w:rPr>
        <w:t>בפי</w:t>
      </w:r>
      <w:r w:rsidR="00CF0C3D" w:rsidRPr="001A0B66">
        <w:rPr>
          <w:rFonts w:ascii="FrankRuehl" w:hAnsi="FrankRuehl" w:cs="FrankRuehl"/>
          <w:sz w:val="28"/>
          <w:szCs w:val="28"/>
          <w:rtl/>
        </w:rPr>
        <w:t xml:space="preserve"> אחד מאיתנו בשם "</w:t>
      </w:r>
      <w:r w:rsidR="00CF0C3D" w:rsidRPr="001A0B66">
        <w:rPr>
          <w:rFonts w:ascii="FrankRuehl" w:hAnsi="FrankRuehl" w:cs="FrankRuehl"/>
          <w:b/>
          <w:bCs/>
          <w:sz w:val="28"/>
          <w:szCs w:val="28"/>
          <w:rtl/>
        </w:rPr>
        <w:t>הקרנה היקפית</w:t>
      </w:r>
      <w:r w:rsidR="00CF0C3D" w:rsidRPr="001A0B66">
        <w:rPr>
          <w:rFonts w:ascii="FrankRuehl" w:hAnsi="FrankRuehl" w:cs="FrankRuehl"/>
          <w:sz w:val="28"/>
          <w:szCs w:val="28"/>
          <w:rtl/>
        </w:rPr>
        <w:t>".</w:t>
      </w:r>
      <w:bookmarkStart w:id="23" w:name="_Ref53036067"/>
      <w:r w:rsidR="00CF0C3D" w:rsidRPr="001A0B66">
        <w:rPr>
          <w:rStyle w:val="FootnoteReference"/>
          <w:rFonts w:ascii="FrankRuehl" w:hAnsi="FrankRuehl" w:cs="FrankRuehl"/>
          <w:sz w:val="28"/>
          <w:szCs w:val="28"/>
          <w:rtl/>
        </w:rPr>
        <w:footnoteReference w:id="17"/>
      </w:r>
      <w:bookmarkEnd w:id="23"/>
      <w:r w:rsidR="00CF0C3D" w:rsidRPr="001A0B66">
        <w:rPr>
          <w:rFonts w:ascii="FrankRuehl" w:hAnsi="FrankRuehl" w:cs="FrankRuehl"/>
          <w:sz w:val="28"/>
          <w:szCs w:val="28"/>
          <w:rtl/>
        </w:rPr>
        <w:t xml:space="preserve"> </w:t>
      </w:r>
      <w:bookmarkStart w:id="24" w:name="_Hlk41495326"/>
      <w:r w:rsidR="00CF0C3D" w:rsidRPr="001A0B66">
        <w:rPr>
          <w:rFonts w:ascii="FrankRuehl" w:hAnsi="FrankRuehl" w:cs="FrankRuehl"/>
          <w:sz w:val="28"/>
          <w:szCs w:val="28"/>
          <w:rtl/>
        </w:rPr>
        <w:t>מדובר בהשלכותיה של נורמת איסור האפליה על מערכת המשפט של חברה שסועה,</w:t>
      </w:r>
      <w:r w:rsidR="009148F9" w:rsidRPr="001A0B66">
        <w:rPr>
          <w:rFonts w:ascii="FrankRuehl" w:hAnsi="FrankRuehl" w:cs="FrankRuehl"/>
          <w:sz w:val="28"/>
          <w:szCs w:val="28"/>
          <w:rtl/>
        </w:rPr>
        <w:t xml:space="preserve"> שמגוון הפלגים שבה זוכים ליחס דיפרנציאלי</w:t>
      </w:r>
      <w:r w:rsidR="00CF0C3D" w:rsidRPr="001A0B66">
        <w:rPr>
          <w:rFonts w:ascii="FrankRuehl" w:hAnsi="FrankRuehl" w:cs="FrankRuehl"/>
          <w:sz w:val="28"/>
          <w:szCs w:val="28"/>
          <w:rtl/>
        </w:rPr>
        <w:t xml:space="preserve"> </w:t>
      </w:r>
      <w:r w:rsidR="00E97300" w:rsidRPr="001A0B66">
        <w:rPr>
          <w:rFonts w:ascii="FrankRuehl" w:hAnsi="FrankRuehl" w:cs="FrankRuehl"/>
          <w:sz w:val="28"/>
          <w:szCs w:val="28"/>
          <w:rtl/>
        </w:rPr>
        <w:t>–</w:t>
      </w:r>
      <w:r w:rsidR="00CF0C3D" w:rsidRPr="001A0B66">
        <w:rPr>
          <w:rFonts w:ascii="FrankRuehl" w:hAnsi="FrankRuehl" w:cs="FrankRuehl"/>
          <w:sz w:val="28"/>
          <w:szCs w:val="28"/>
          <w:rtl/>
        </w:rPr>
        <w:t xml:space="preserve"> משמע</w:t>
      </w:r>
      <w:r w:rsidR="009148F9" w:rsidRPr="001A0B66">
        <w:rPr>
          <w:rFonts w:ascii="FrankRuehl" w:hAnsi="FrankRuehl" w:cs="FrankRuehl"/>
          <w:sz w:val="28"/>
          <w:szCs w:val="28"/>
          <w:rtl/>
        </w:rPr>
        <w:t>,</w:t>
      </w:r>
      <w:r w:rsidR="00CF0C3D" w:rsidRPr="001A0B66">
        <w:rPr>
          <w:rFonts w:ascii="FrankRuehl" w:hAnsi="FrankRuehl" w:cs="FrankRuehl"/>
          <w:sz w:val="28"/>
          <w:szCs w:val="28"/>
          <w:rtl/>
        </w:rPr>
        <w:t xml:space="preserve"> חברה שיש בה מיעוטים בעלי</w:t>
      </w:r>
      <w:r w:rsidR="00E97300" w:rsidRPr="001A0B66">
        <w:rPr>
          <w:rFonts w:ascii="FrankRuehl" w:hAnsi="FrankRuehl" w:cs="FrankRuehl"/>
          <w:sz w:val="28"/>
          <w:szCs w:val="28"/>
          <w:rtl/>
        </w:rPr>
        <w:t xml:space="preserve"> </w:t>
      </w:r>
      <w:r w:rsidR="00CF0C3D" w:rsidRPr="001A0B66">
        <w:rPr>
          <w:rFonts w:ascii="FrankRuehl" w:hAnsi="FrankRuehl" w:cs="FrankRuehl"/>
          <w:sz w:val="28"/>
          <w:szCs w:val="28"/>
          <w:rtl/>
        </w:rPr>
        <w:t xml:space="preserve">כוח </w:t>
      </w:r>
      <w:r w:rsidR="00E97300" w:rsidRPr="001A0B66">
        <w:rPr>
          <w:rFonts w:ascii="FrankRuehl" w:hAnsi="FrankRuehl" w:cs="FrankRuehl"/>
          <w:sz w:val="28"/>
          <w:szCs w:val="28"/>
          <w:rtl/>
        </w:rPr>
        <w:t xml:space="preserve">לצד </w:t>
      </w:r>
      <w:r w:rsidR="00CF0C3D" w:rsidRPr="001A0B66">
        <w:rPr>
          <w:rFonts w:ascii="FrankRuehl" w:hAnsi="FrankRuehl" w:cs="FrankRuehl"/>
          <w:sz w:val="28"/>
          <w:szCs w:val="28"/>
          <w:rtl/>
        </w:rPr>
        <w:t>מיעוטים מוחלשים. כיצד פועלת ה</w:t>
      </w:r>
      <w:r w:rsidR="00E97300" w:rsidRPr="001A0B66">
        <w:rPr>
          <w:rFonts w:ascii="FrankRuehl" w:hAnsi="FrankRuehl" w:cs="FrankRuehl"/>
          <w:sz w:val="28"/>
          <w:szCs w:val="28"/>
          <w:rtl/>
        </w:rPr>
        <w:t>"</w:t>
      </w:r>
      <w:r w:rsidR="00CF0C3D" w:rsidRPr="001A0B66">
        <w:rPr>
          <w:rFonts w:ascii="FrankRuehl" w:hAnsi="FrankRuehl" w:cs="FrankRuehl"/>
          <w:sz w:val="28"/>
          <w:szCs w:val="28"/>
          <w:rtl/>
        </w:rPr>
        <w:t xml:space="preserve">הקרנה"? למשל, בשיטת משפט </w:t>
      </w:r>
      <w:r w:rsidR="00E97300" w:rsidRPr="001A0B66">
        <w:rPr>
          <w:rFonts w:ascii="FrankRuehl" w:hAnsi="FrankRuehl" w:cs="FrankRuehl"/>
          <w:sz w:val="28"/>
          <w:szCs w:val="28"/>
          <w:rtl/>
        </w:rPr>
        <w:t xml:space="preserve">שמתייחסת </w:t>
      </w:r>
      <w:r w:rsidR="00CF0C3D" w:rsidRPr="001A0B66">
        <w:rPr>
          <w:rFonts w:ascii="FrankRuehl" w:hAnsi="FrankRuehl" w:cs="FrankRuehl"/>
          <w:sz w:val="28"/>
          <w:szCs w:val="28"/>
          <w:rtl/>
        </w:rPr>
        <w:t xml:space="preserve">ברצינות </w:t>
      </w:r>
      <w:r w:rsidR="00E97300" w:rsidRPr="001A0B66">
        <w:rPr>
          <w:rFonts w:ascii="FrankRuehl" w:hAnsi="FrankRuehl" w:cs="FrankRuehl"/>
          <w:sz w:val="28"/>
          <w:szCs w:val="28"/>
          <w:rtl/>
        </w:rPr>
        <w:t>ל</w:t>
      </w:r>
      <w:r w:rsidR="00CF0C3D" w:rsidRPr="001A0B66">
        <w:rPr>
          <w:rFonts w:ascii="FrankRuehl" w:hAnsi="FrankRuehl" w:cs="FrankRuehl"/>
          <w:sz w:val="28"/>
          <w:szCs w:val="28"/>
          <w:rtl/>
        </w:rPr>
        <w:t xml:space="preserve">איסור האפליה </w:t>
      </w:r>
      <w:r w:rsidR="007E5D4F" w:rsidRPr="001A0B66">
        <w:rPr>
          <w:rFonts w:ascii="FrankRuehl" w:hAnsi="FrankRuehl" w:cs="FrankRuehl"/>
          <w:sz w:val="28"/>
          <w:szCs w:val="28"/>
          <w:rtl/>
        </w:rPr>
        <w:t xml:space="preserve">ומתקיימת בה ביקורת שיפוטית חוקתית </w:t>
      </w:r>
      <w:r w:rsidR="00CF0C3D" w:rsidRPr="001A0B66">
        <w:rPr>
          <w:rFonts w:ascii="FrankRuehl" w:hAnsi="FrankRuehl" w:cs="FrankRuehl"/>
          <w:sz w:val="28"/>
          <w:szCs w:val="28"/>
          <w:rtl/>
        </w:rPr>
        <w:t>קשה להציב</w:t>
      </w:r>
      <w:r w:rsidR="00E97300" w:rsidRPr="001A0B66">
        <w:rPr>
          <w:rFonts w:ascii="FrankRuehl" w:hAnsi="FrankRuehl" w:cs="FrankRuehl"/>
          <w:sz w:val="28"/>
          <w:szCs w:val="28"/>
          <w:rtl/>
        </w:rPr>
        <w:t xml:space="preserve"> בבחירות הכלליות</w:t>
      </w:r>
      <w:r w:rsidR="00CF0C3D" w:rsidRPr="001A0B66">
        <w:rPr>
          <w:rFonts w:ascii="FrankRuehl" w:hAnsi="FrankRuehl" w:cs="FrankRuehl"/>
          <w:sz w:val="28"/>
          <w:szCs w:val="28"/>
          <w:rtl/>
        </w:rPr>
        <w:t xml:space="preserve"> אחוז חסימה שמגונן </w:t>
      </w:r>
      <w:r w:rsidR="00E97300" w:rsidRPr="001A0B66">
        <w:rPr>
          <w:rFonts w:ascii="FrankRuehl" w:hAnsi="FrankRuehl" w:cs="FrankRuehl"/>
          <w:sz w:val="28"/>
          <w:szCs w:val="28"/>
          <w:rtl/>
        </w:rPr>
        <w:t>על</w:t>
      </w:r>
      <w:r w:rsidR="00CF0C3D" w:rsidRPr="001A0B66">
        <w:rPr>
          <w:rFonts w:ascii="FrankRuehl" w:hAnsi="FrankRuehl" w:cs="FrankRuehl"/>
          <w:sz w:val="28"/>
          <w:szCs w:val="28"/>
          <w:rtl/>
        </w:rPr>
        <w:t xml:space="preserve"> קהילת מיעוט</w:t>
      </w:r>
      <w:r w:rsidR="00EB3DF1" w:rsidRPr="001A0B66">
        <w:rPr>
          <w:rFonts w:ascii="FrankRuehl" w:hAnsi="FrankRuehl" w:cs="FrankRuehl"/>
          <w:sz w:val="28"/>
          <w:szCs w:val="28"/>
          <w:rtl/>
        </w:rPr>
        <w:t xml:space="preserve"> אהודה או</w:t>
      </w:r>
      <w:r w:rsidR="00CF0C3D" w:rsidRPr="001A0B66">
        <w:rPr>
          <w:rFonts w:ascii="FrankRuehl" w:hAnsi="FrankRuehl" w:cs="FrankRuehl"/>
          <w:sz w:val="28"/>
          <w:szCs w:val="28"/>
          <w:rtl/>
        </w:rPr>
        <w:t xml:space="preserve"> חזקה יחסית אך </w:t>
      </w:r>
      <w:r w:rsidR="00E97300" w:rsidRPr="001A0B66">
        <w:rPr>
          <w:rFonts w:ascii="FrankRuehl" w:hAnsi="FrankRuehl" w:cs="FrankRuehl"/>
          <w:sz w:val="28"/>
          <w:szCs w:val="28"/>
          <w:rtl/>
        </w:rPr>
        <w:t xml:space="preserve">בד בבד </w:t>
      </w:r>
      <w:r w:rsidR="00CF0C3D" w:rsidRPr="001A0B66">
        <w:rPr>
          <w:rFonts w:ascii="FrankRuehl" w:hAnsi="FrankRuehl" w:cs="FrankRuehl"/>
          <w:sz w:val="28"/>
          <w:szCs w:val="28"/>
          <w:rtl/>
        </w:rPr>
        <w:t>פוגע במיעוט</w:t>
      </w:r>
      <w:r w:rsidR="00EB3DF1" w:rsidRPr="001A0B66">
        <w:rPr>
          <w:rFonts w:ascii="FrankRuehl" w:hAnsi="FrankRuehl" w:cs="FrankRuehl"/>
          <w:sz w:val="28"/>
          <w:szCs w:val="28"/>
          <w:rtl/>
        </w:rPr>
        <w:t xml:space="preserve"> שהוא דחוי או</w:t>
      </w:r>
      <w:r w:rsidR="00CF0C3D" w:rsidRPr="001A0B66">
        <w:rPr>
          <w:rFonts w:ascii="FrankRuehl" w:hAnsi="FrankRuehl" w:cs="FrankRuehl"/>
          <w:sz w:val="28"/>
          <w:szCs w:val="28"/>
          <w:rtl/>
        </w:rPr>
        <w:t xml:space="preserve"> </w:t>
      </w:r>
      <w:r w:rsidR="001A02AB" w:rsidRPr="001A0B66">
        <w:rPr>
          <w:rFonts w:ascii="FrankRuehl" w:hAnsi="FrankRuehl" w:cs="FrankRuehl"/>
          <w:sz w:val="28"/>
          <w:szCs w:val="28"/>
          <w:rtl/>
        </w:rPr>
        <w:t>חלש יותר</w:t>
      </w:r>
      <w:r w:rsidR="00CF0C3D" w:rsidRPr="001A0B66">
        <w:rPr>
          <w:rFonts w:ascii="FrankRuehl" w:hAnsi="FrankRuehl" w:cs="FrankRuehl"/>
          <w:sz w:val="28"/>
          <w:szCs w:val="28"/>
          <w:rtl/>
        </w:rPr>
        <w:t>.</w:t>
      </w:r>
      <w:bookmarkStart w:id="25" w:name="_Ref53036081"/>
      <w:r w:rsidR="00CF0C3D" w:rsidRPr="001A0B66">
        <w:rPr>
          <w:rStyle w:val="FootnoteReference"/>
          <w:rFonts w:ascii="FrankRuehl" w:hAnsi="FrankRuehl" w:cs="FrankRuehl"/>
          <w:sz w:val="28"/>
          <w:szCs w:val="28"/>
          <w:rtl/>
        </w:rPr>
        <w:footnoteReference w:id="18"/>
      </w:r>
      <w:bookmarkEnd w:id="25"/>
      <w:r w:rsidR="00CF0C3D" w:rsidRPr="001A0B66">
        <w:rPr>
          <w:rFonts w:ascii="FrankRuehl" w:hAnsi="FrankRuehl" w:cs="FrankRuehl"/>
          <w:sz w:val="28"/>
          <w:szCs w:val="28"/>
          <w:rtl/>
        </w:rPr>
        <w:t xml:space="preserve"> </w:t>
      </w:r>
      <w:r w:rsidR="00E97300" w:rsidRPr="001A0B66">
        <w:rPr>
          <w:rFonts w:ascii="FrankRuehl" w:hAnsi="FrankRuehl" w:cs="FrankRuehl"/>
          <w:sz w:val="28"/>
          <w:szCs w:val="28"/>
          <w:rtl/>
        </w:rPr>
        <w:t xml:space="preserve">בשיטה כזו, </w:t>
      </w:r>
      <w:r w:rsidR="00891854" w:rsidRPr="001A0B66">
        <w:rPr>
          <w:rFonts w:ascii="FrankRuehl" w:hAnsi="FrankRuehl" w:cs="FrankRuehl"/>
          <w:sz w:val="28"/>
          <w:szCs w:val="28"/>
          <w:rtl/>
        </w:rPr>
        <w:t>הגנה על זכויותי</w:t>
      </w:r>
      <w:r w:rsidR="00B3250D" w:rsidRPr="001A0B66">
        <w:rPr>
          <w:rFonts w:ascii="FrankRuehl" w:hAnsi="FrankRuehl" w:cs="FrankRuehl"/>
          <w:sz w:val="28"/>
          <w:szCs w:val="28"/>
          <w:rtl/>
        </w:rPr>
        <w:t xml:space="preserve">הם של בני </w:t>
      </w:r>
      <w:r w:rsidR="007E5D4F" w:rsidRPr="001A0B66">
        <w:rPr>
          <w:rFonts w:ascii="FrankRuehl" w:hAnsi="FrankRuehl" w:cs="FrankRuehl"/>
          <w:sz w:val="28"/>
          <w:szCs w:val="28"/>
          <w:rtl/>
        </w:rPr>
        <w:t xml:space="preserve">קהילת </w:t>
      </w:r>
      <w:r w:rsidR="00891854" w:rsidRPr="001A0B66">
        <w:rPr>
          <w:rFonts w:ascii="FrankRuehl" w:hAnsi="FrankRuehl" w:cs="FrankRuehl"/>
          <w:sz w:val="28"/>
          <w:szCs w:val="28"/>
          <w:rtl/>
        </w:rPr>
        <w:t xml:space="preserve">מיעוט מסוג אחד מקרינה </w:t>
      </w:r>
      <w:r w:rsidR="00B3250D" w:rsidRPr="001A0B66">
        <w:rPr>
          <w:rFonts w:ascii="FrankRuehl" w:hAnsi="FrankRuehl" w:cs="FrankRuehl"/>
          <w:sz w:val="28"/>
          <w:szCs w:val="28"/>
          <w:rtl/>
        </w:rPr>
        <w:t xml:space="preserve">על </w:t>
      </w:r>
      <w:r w:rsidR="007E5D4F" w:rsidRPr="001A0B66">
        <w:rPr>
          <w:rFonts w:ascii="FrankRuehl" w:hAnsi="FrankRuehl" w:cs="FrankRuehl"/>
          <w:sz w:val="28"/>
          <w:szCs w:val="28"/>
          <w:rtl/>
        </w:rPr>
        <w:t xml:space="preserve">קהילת </w:t>
      </w:r>
      <w:r w:rsidR="00E97300" w:rsidRPr="001A0B66">
        <w:rPr>
          <w:rFonts w:ascii="FrankRuehl" w:hAnsi="FrankRuehl" w:cs="FrankRuehl"/>
          <w:sz w:val="28"/>
          <w:szCs w:val="28"/>
          <w:rtl/>
        </w:rPr>
        <w:t>מיעוט מוחלש</w:t>
      </w:r>
      <w:r w:rsidR="007E5D4F" w:rsidRPr="001A0B66">
        <w:rPr>
          <w:rFonts w:ascii="FrankRuehl" w:hAnsi="FrankRuehl" w:cs="FrankRuehl"/>
          <w:sz w:val="28"/>
          <w:szCs w:val="28"/>
          <w:rtl/>
        </w:rPr>
        <w:t>ת</w:t>
      </w:r>
      <w:r w:rsidR="009148F9" w:rsidRPr="001A0B66">
        <w:rPr>
          <w:rFonts w:ascii="FrankRuehl" w:hAnsi="FrankRuehl" w:cs="FrankRuehl"/>
          <w:sz w:val="28"/>
          <w:szCs w:val="28"/>
          <w:rtl/>
        </w:rPr>
        <w:t xml:space="preserve"> </w:t>
      </w:r>
      <w:r w:rsidR="00891854" w:rsidRPr="001A0B66">
        <w:rPr>
          <w:rFonts w:ascii="FrankRuehl" w:hAnsi="FrankRuehl" w:cs="FrankRuehl"/>
          <w:sz w:val="28"/>
          <w:szCs w:val="28"/>
          <w:rtl/>
        </w:rPr>
        <w:t>ומשפרת את השמירה על זכויות</w:t>
      </w:r>
      <w:r w:rsidR="007E5D4F" w:rsidRPr="001A0B66">
        <w:rPr>
          <w:rFonts w:ascii="FrankRuehl" w:hAnsi="FrankRuehl" w:cs="FrankRuehl"/>
          <w:sz w:val="28"/>
          <w:szCs w:val="28"/>
          <w:rtl/>
        </w:rPr>
        <w:t xml:space="preserve"> יחידיה</w:t>
      </w:r>
      <w:r w:rsidR="00891854" w:rsidRPr="001A0B66">
        <w:rPr>
          <w:rFonts w:ascii="FrankRuehl" w:hAnsi="FrankRuehl" w:cs="FrankRuehl"/>
          <w:sz w:val="28"/>
          <w:szCs w:val="28"/>
          <w:rtl/>
        </w:rPr>
        <w:t xml:space="preserve">. </w:t>
      </w:r>
      <w:r w:rsidR="00CF0C3D" w:rsidRPr="001A0B66">
        <w:rPr>
          <w:rFonts w:ascii="FrankRuehl" w:hAnsi="FrankRuehl" w:cs="FrankRuehl"/>
          <w:sz w:val="28"/>
          <w:szCs w:val="28"/>
          <w:rtl/>
        </w:rPr>
        <w:t xml:space="preserve">וכך גם בענייננו. </w:t>
      </w:r>
      <w:r w:rsidR="00B732A4" w:rsidRPr="001A0B66">
        <w:rPr>
          <w:rFonts w:ascii="FrankRuehl" w:hAnsi="FrankRuehl" w:cs="FrankRuehl"/>
          <w:sz w:val="28"/>
          <w:szCs w:val="28"/>
          <w:rtl/>
        </w:rPr>
        <w:t xml:space="preserve">במשך </w:t>
      </w:r>
      <w:r w:rsidR="00CF0C3D" w:rsidRPr="001A0B66">
        <w:rPr>
          <w:rFonts w:ascii="FrankRuehl" w:hAnsi="FrankRuehl" w:cs="FrankRuehl"/>
          <w:sz w:val="28"/>
          <w:szCs w:val="28"/>
          <w:rtl/>
        </w:rPr>
        <w:t xml:space="preserve">עשרות שנים </w:t>
      </w:r>
      <w:r w:rsidR="00E97300" w:rsidRPr="001A0B66">
        <w:rPr>
          <w:rFonts w:ascii="FrankRuehl" w:hAnsi="FrankRuehl" w:cs="FrankRuehl"/>
          <w:sz w:val="28"/>
          <w:szCs w:val="28"/>
          <w:rtl/>
        </w:rPr>
        <w:t xml:space="preserve">מופעל הכלי של </w:t>
      </w:r>
      <w:r w:rsidR="00CF0C3D" w:rsidRPr="001A0B66">
        <w:rPr>
          <w:rFonts w:ascii="FrankRuehl" w:hAnsi="FrankRuehl" w:cs="FrankRuehl"/>
          <w:sz w:val="28"/>
          <w:szCs w:val="28"/>
          <w:rtl/>
        </w:rPr>
        <w:t>מעצר מנהלי ו</w:t>
      </w:r>
      <w:r w:rsidR="00E97300" w:rsidRPr="001A0B66">
        <w:rPr>
          <w:rFonts w:ascii="FrankRuehl" w:hAnsi="FrankRuehl" w:cs="FrankRuehl"/>
          <w:sz w:val="28"/>
          <w:szCs w:val="28"/>
          <w:rtl/>
        </w:rPr>
        <w:t>מו</w:t>
      </w:r>
      <w:r w:rsidR="00CF0C3D" w:rsidRPr="001A0B66">
        <w:rPr>
          <w:rFonts w:ascii="FrankRuehl" w:hAnsi="FrankRuehl" w:cs="FrankRuehl"/>
          <w:sz w:val="28"/>
          <w:szCs w:val="28"/>
          <w:rtl/>
        </w:rPr>
        <w:t xml:space="preserve">פעלות סמכויות חירום אחרות </w:t>
      </w:r>
      <w:r w:rsidR="008450CD" w:rsidRPr="001A0B66">
        <w:rPr>
          <w:rFonts w:ascii="FrankRuehl" w:hAnsi="FrankRuehl" w:cs="FrankRuehl"/>
          <w:sz w:val="28"/>
          <w:szCs w:val="28"/>
          <w:rtl/>
        </w:rPr>
        <w:t>בלא סייג ממשי</w:t>
      </w:r>
      <w:r w:rsidR="00E97300" w:rsidRPr="001A0B66">
        <w:rPr>
          <w:rFonts w:ascii="FrankRuehl" w:hAnsi="FrankRuehl" w:cs="FrankRuehl"/>
          <w:sz w:val="28"/>
          <w:szCs w:val="28"/>
          <w:rtl/>
        </w:rPr>
        <w:t xml:space="preserve"> </w:t>
      </w:r>
      <w:r w:rsidR="00891854" w:rsidRPr="001A0B66">
        <w:rPr>
          <w:rFonts w:ascii="FrankRuehl" w:hAnsi="FrankRuehl" w:cs="FrankRuehl"/>
          <w:sz w:val="28"/>
          <w:szCs w:val="28"/>
          <w:rtl/>
        </w:rPr>
        <w:t xml:space="preserve">כלפי </w:t>
      </w:r>
      <w:r w:rsidR="008450CD" w:rsidRPr="001A0B66">
        <w:rPr>
          <w:rFonts w:ascii="FrankRuehl" w:hAnsi="FrankRuehl" w:cs="FrankRuehl"/>
          <w:sz w:val="28"/>
          <w:szCs w:val="28"/>
          <w:rtl/>
        </w:rPr>
        <w:t>חשודים</w:t>
      </w:r>
      <w:r w:rsidR="00891854" w:rsidRPr="001A0B66">
        <w:rPr>
          <w:rFonts w:ascii="FrankRuehl" w:hAnsi="FrankRuehl" w:cs="FrankRuehl"/>
          <w:sz w:val="28"/>
          <w:szCs w:val="28"/>
        </w:rPr>
        <w:t xml:space="preserve"> </w:t>
      </w:r>
      <w:r w:rsidR="007503BA" w:rsidRPr="001A0B66">
        <w:rPr>
          <w:rFonts w:ascii="FrankRuehl" w:hAnsi="FrankRuehl" w:cs="FrankRuehl"/>
          <w:sz w:val="28"/>
          <w:szCs w:val="28"/>
          <w:rtl/>
        </w:rPr>
        <w:t>ש</w:t>
      </w:r>
      <w:r w:rsidR="00891854" w:rsidRPr="001A0B66">
        <w:rPr>
          <w:rFonts w:ascii="FrankRuehl" w:hAnsi="FrankRuehl" w:cs="FrankRuehl"/>
          <w:sz w:val="28"/>
          <w:szCs w:val="28"/>
          <w:rtl/>
        </w:rPr>
        <w:t>רובם המכריע ערבים</w:t>
      </w:r>
      <w:r w:rsidR="00B732A4" w:rsidRPr="001A0B66">
        <w:rPr>
          <w:rFonts w:ascii="FrankRuehl" w:hAnsi="FrankRuehl" w:cs="FrankRuehl"/>
          <w:sz w:val="28"/>
          <w:szCs w:val="28"/>
          <w:rtl/>
        </w:rPr>
        <w:t>;</w:t>
      </w:r>
      <w:r w:rsidR="00B21EDE" w:rsidRPr="001A0B66">
        <w:rPr>
          <w:rStyle w:val="FootnoteReference"/>
          <w:rFonts w:ascii="FrankRuehl" w:hAnsi="FrankRuehl" w:cs="FrankRuehl"/>
          <w:sz w:val="28"/>
          <w:szCs w:val="28"/>
          <w:rtl/>
        </w:rPr>
        <w:footnoteReference w:id="19"/>
      </w:r>
      <w:r w:rsidR="00CF0C3D" w:rsidRPr="001A0B66">
        <w:rPr>
          <w:rFonts w:ascii="FrankRuehl" w:hAnsi="FrankRuehl" w:cs="FrankRuehl"/>
          <w:sz w:val="28"/>
          <w:szCs w:val="28"/>
          <w:rtl/>
        </w:rPr>
        <w:t xml:space="preserve"> אך הנה </w:t>
      </w:r>
      <w:r w:rsidR="00B732A4" w:rsidRPr="001A0B66">
        <w:rPr>
          <w:rFonts w:ascii="FrankRuehl" w:hAnsi="FrankRuehl" w:cs="FrankRuehl"/>
          <w:sz w:val="28"/>
          <w:szCs w:val="28"/>
          <w:rtl/>
        </w:rPr>
        <w:t xml:space="preserve">מוגשת </w:t>
      </w:r>
      <w:r w:rsidR="00CF0C3D" w:rsidRPr="001A0B66">
        <w:rPr>
          <w:rFonts w:ascii="FrankRuehl" w:hAnsi="FrankRuehl" w:cs="FrankRuehl"/>
          <w:sz w:val="28"/>
          <w:szCs w:val="28"/>
          <w:rtl/>
        </w:rPr>
        <w:t>הצעת חוק שתגונן על זכויות של חשודים יהודים – למשל כאלה שנחשדים בפע</w:t>
      </w:r>
      <w:r w:rsidR="00B732A4" w:rsidRPr="001A0B66">
        <w:rPr>
          <w:rFonts w:ascii="FrankRuehl" w:hAnsi="FrankRuehl" w:cs="FrankRuehl"/>
          <w:sz w:val="28"/>
          <w:szCs w:val="28"/>
          <w:rtl/>
        </w:rPr>
        <w:t>ו</w:t>
      </w:r>
      <w:r w:rsidR="00CF0C3D" w:rsidRPr="001A0B66">
        <w:rPr>
          <w:rFonts w:ascii="FrankRuehl" w:hAnsi="FrankRuehl" w:cs="FrankRuehl"/>
          <w:sz w:val="28"/>
          <w:szCs w:val="28"/>
          <w:rtl/>
        </w:rPr>
        <w:t>לות "תג מחיר"</w:t>
      </w:r>
      <w:r w:rsidR="00B732A4" w:rsidRPr="001A0B66">
        <w:rPr>
          <w:rFonts w:ascii="FrankRuehl" w:hAnsi="FrankRuehl" w:cs="FrankRuehl"/>
          <w:sz w:val="28"/>
          <w:szCs w:val="28"/>
          <w:rtl/>
        </w:rPr>
        <w:t>,</w:t>
      </w:r>
      <w:r w:rsidR="00CF0C3D" w:rsidRPr="001A0B66">
        <w:rPr>
          <w:rFonts w:ascii="FrankRuehl" w:hAnsi="FrankRuehl" w:cs="FrankRuehl"/>
          <w:sz w:val="28"/>
          <w:szCs w:val="28"/>
          <w:rtl/>
        </w:rPr>
        <w:t xml:space="preserve"> ואז חוברים ליוזמה חברי כנסת </w:t>
      </w:r>
      <w:r w:rsidR="00B732A4" w:rsidRPr="001A0B66">
        <w:rPr>
          <w:rFonts w:ascii="FrankRuehl" w:hAnsi="FrankRuehl" w:cs="FrankRuehl"/>
          <w:sz w:val="28"/>
          <w:szCs w:val="28"/>
          <w:rtl/>
        </w:rPr>
        <w:t xml:space="preserve">ממקומות </w:t>
      </w:r>
      <w:r w:rsidR="00CF0C3D" w:rsidRPr="001A0B66">
        <w:rPr>
          <w:rFonts w:ascii="FrankRuehl" w:hAnsi="FrankRuehl" w:cs="FrankRuehl"/>
          <w:sz w:val="28"/>
          <w:szCs w:val="28"/>
          <w:rtl/>
        </w:rPr>
        <w:t>אחרים על הקשת הפוליטית</w:t>
      </w:r>
      <w:r w:rsidR="00CF5D52" w:rsidRPr="001A0B66">
        <w:rPr>
          <w:rFonts w:ascii="FrankRuehl" w:hAnsi="FrankRuehl" w:cs="FrankRuehl"/>
          <w:sz w:val="28"/>
          <w:szCs w:val="28"/>
          <w:rtl/>
        </w:rPr>
        <w:t xml:space="preserve">. </w:t>
      </w:r>
      <w:r w:rsidR="00B732A4" w:rsidRPr="001A0B66">
        <w:rPr>
          <w:rFonts w:ascii="FrankRuehl" w:hAnsi="FrankRuehl" w:cs="FrankRuehl"/>
          <w:sz w:val="28"/>
          <w:szCs w:val="28"/>
          <w:rtl/>
        </w:rPr>
        <w:t xml:space="preserve">כעת, </w:t>
      </w:r>
      <w:r w:rsidR="00CF0C3D" w:rsidRPr="001A0B66">
        <w:rPr>
          <w:rFonts w:ascii="FrankRuehl" w:hAnsi="FrankRuehl" w:cs="FrankRuehl"/>
          <w:sz w:val="28"/>
          <w:szCs w:val="28"/>
          <w:rtl/>
        </w:rPr>
        <w:t>אם</w:t>
      </w:r>
      <w:r w:rsidR="00B3250D" w:rsidRPr="001A0B66">
        <w:rPr>
          <w:rFonts w:ascii="FrankRuehl" w:hAnsi="FrankRuehl" w:cs="FrankRuehl"/>
          <w:sz w:val="28"/>
          <w:szCs w:val="28"/>
          <w:rtl/>
        </w:rPr>
        <w:t xml:space="preserve"> </w:t>
      </w:r>
      <w:r w:rsidR="00CF0C3D" w:rsidRPr="001A0B66">
        <w:rPr>
          <w:rFonts w:ascii="FrankRuehl" w:hAnsi="FrankRuehl" w:cs="FrankRuehl"/>
          <w:sz w:val="28"/>
          <w:szCs w:val="28"/>
          <w:rtl/>
        </w:rPr>
        <w:t xml:space="preserve">תתקבל </w:t>
      </w:r>
      <w:r w:rsidR="00CF5D52" w:rsidRPr="001A0B66">
        <w:rPr>
          <w:rFonts w:ascii="FrankRuehl" w:hAnsi="FrankRuehl" w:cs="FrankRuehl"/>
          <w:sz w:val="28"/>
          <w:szCs w:val="28"/>
          <w:rtl/>
        </w:rPr>
        <w:t xml:space="preserve">היוזמה </w:t>
      </w:r>
      <w:r w:rsidR="00CF0C3D" w:rsidRPr="001A0B66">
        <w:rPr>
          <w:rFonts w:ascii="FrankRuehl" w:hAnsi="FrankRuehl" w:cs="FrankRuehl"/>
          <w:sz w:val="28"/>
          <w:szCs w:val="28"/>
          <w:rtl/>
        </w:rPr>
        <w:t xml:space="preserve">היא תגונן ישירות גם על זכויות של חשודים שהם אזרחים ערבים ותושבים פלסטינים </w:t>
      </w:r>
      <w:r w:rsidR="00B732A4" w:rsidRPr="001A0B66">
        <w:rPr>
          <w:rFonts w:ascii="FrankRuehl" w:hAnsi="FrankRuehl" w:cs="FrankRuehl"/>
          <w:sz w:val="28"/>
          <w:szCs w:val="28"/>
          <w:rtl/>
        </w:rPr>
        <w:t>המתגוררים ב</w:t>
      </w:r>
      <w:r w:rsidR="00CF0C3D" w:rsidRPr="001A0B66">
        <w:rPr>
          <w:rFonts w:ascii="FrankRuehl" w:hAnsi="FrankRuehl" w:cs="FrankRuehl"/>
          <w:sz w:val="28"/>
          <w:szCs w:val="28"/>
          <w:rtl/>
        </w:rPr>
        <w:t>ירושלים המזרחית</w:t>
      </w:r>
      <w:bookmarkEnd w:id="24"/>
      <w:r w:rsidR="00CF0C3D" w:rsidRPr="001A0B66">
        <w:rPr>
          <w:rFonts w:ascii="FrankRuehl" w:hAnsi="FrankRuehl" w:cs="FrankRuehl"/>
          <w:sz w:val="28"/>
          <w:szCs w:val="28"/>
          <w:rtl/>
        </w:rPr>
        <w:t>.</w:t>
      </w:r>
      <w:bookmarkStart w:id="26" w:name="_Ref53027453"/>
      <w:r w:rsidR="00CF0C3D" w:rsidRPr="001A0B66">
        <w:rPr>
          <w:rFonts w:ascii="FrankRuehl" w:hAnsi="FrankRuehl" w:cs="FrankRuehl"/>
          <w:sz w:val="28"/>
          <w:szCs w:val="28"/>
          <w:vertAlign w:val="superscript"/>
          <w:rtl/>
        </w:rPr>
        <w:footnoteReference w:id="20"/>
      </w:r>
      <w:bookmarkEnd w:id="22"/>
      <w:bookmarkEnd w:id="26"/>
      <w:r w:rsidR="007503BA" w:rsidRPr="001A0B66">
        <w:rPr>
          <w:rFonts w:ascii="FrankRuehl" w:hAnsi="FrankRuehl" w:cs="FrankRuehl"/>
          <w:sz w:val="28"/>
          <w:szCs w:val="28"/>
          <w:rtl/>
        </w:rPr>
        <w:t xml:space="preserve"> </w:t>
      </w:r>
      <w:r w:rsidR="00EB3DF1" w:rsidRPr="001A0B66">
        <w:rPr>
          <w:rFonts w:ascii="FrankRuehl" w:hAnsi="FrankRuehl" w:cs="FrankRuehl"/>
          <w:sz w:val="28"/>
          <w:szCs w:val="28"/>
          <w:rtl/>
        </w:rPr>
        <w:t xml:space="preserve">לשון אחר, נציג של </w:t>
      </w:r>
      <w:r w:rsidR="007E5D4F" w:rsidRPr="001A0B66">
        <w:rPr>
          <w:rFonts w:ascii="FrankRuehl" w:hAnsi="FrankRuehl" w:cs="FrankRuehl"/>
          <w:sz w:val="28"/>
          <w:szCs w:val="28"/>
          <w:rtl/>
        </w:rPr>
        <w:t xml:space="preserve">קהילת מיעוט חזקה שמתנגד </w:t>
      </w:r>
      <w:r w:rsidR="006136C4">
        <w:rPr>
          <w:rFonts w:ascii="FrankRuehl" w:hAnsi="FrankRuehl" w:cs="FrankRuehl"/>
          <w:sz w:val="28"/>
          <w:szCs w:val="28"/>
          <w:rtl/>
        </w:rPr>
        <w:t xml:space="preserve">להשלכותיהן </w:t>
      </w:r>
      <w:r w:rsidR="00EB3DF1" w:rsidRPr="001A0B66">
        <w:rPr>
          <w:rFonts w:ascii="FrankRuehl" w:hAnsi="FrankRuehl" w:cs="FrankRuehl"/>
          <w:sz w:val="28"/>
          <w:szCs w:val="28"/>
          <w:rtl/>
        </w:rPr>
        <w:t xml:space="preserve">של סמכויות החירום </w:t>
      </w:r>
      <w:r w:rsidR="007E5D4F" w:rsidRPr="001A0B66">
        <w:rPr>
          <w:rFonts w:ascii="FrankRuehl" w:hAnsi="FrankRuehl" w:cs="FrankRuehl"/>
          <w:sz w:val="28"/>
          <w:szCs w:val="28"/>
          <w:rtl/>
        </w:rPr>
        <w:lastRenderedPageBreak/>
        <w:t xml:space="preserve">על יחידים באותה קהילה </w:t>
      </w:r>
      <w:r w:rsidR="00EB3DF1" w:rsidRPr="001A0B66">
        <w:rPr>
          <w:rFonts w:ascii="FrankRuehl" w:hAnsi="FrankRuehl" w:cs="FrankRuehl"/>
          <w:sz w:val="28"/>
          <w:szCs w:val="28"/>
          <w:rtl/>
        </w:rPr>
        <w:t>מציע הגבלה ובקרה חשובה עליהן, והצעה זו תחול גם על זכויות של יחידים מקהילות מיעוט מוחלשות</w:t>
      </w:r>
      <w:r w:rsidR="006136C4">
        <w:rPr>
          <w:rFonts w:ascii="FrankRuehl" w:hAnsi="FrankRuehl" w:cs="FrankRuehl"/>
          <w:sz w:val="28"/>
          <w:szCs w:val="28"/>
          <w:rtl/>
        </w:rPr>
        <w:t xml:space="preserve">, שהם </w:t>
      </w:r>
      <w:r w:rsidR="008F465E">
        <w:rPr>
          <w:rFonts w:ascii="FrankRuehl" w:hAnsi="FrankRuehl" w:cs="FrankRuehl"/>
          <w:sz w:val="28"/>
          <w:szCs w:val="28"/>
          <w:rtl/>
        </w:rPr>
        <w:t>נפגעים</w:t>
      </w:r>
      <w:r w:rsidR="006136C4">
        <w:rPr>
          <w:rFonts w:ascii="FrankRuehl" w:hAnsi="FrankRuehl" w:cs="FrankRuehl"/>
          <w:sz w:val="28"/>
          <w:szCs w:val="28"/>
          <w:rtl/>
        </w:rPr>
        <w:t xml:space="preserve"> הרבה יותר </w:t>
      </w:r>
      <w:r w:rsidR="008F465E">
        <w:rPr>
          <w:rFonts w:ascii="FrankRuehl" w:hAnsi="FrankRuehl" w:cs="FrankRuehl"/>
          <w:sz w:val="28"/>
          <w:szCs w:val="28"/>
          <w:rtl/>
        </w:rPr>
        <w:t>מ</w:t>
      </w:r>
      <w:r w:rsidR="006136C4">
        <w:rPr>
          <w:rFonts w:ascii="FrankRuehl" w:hAnsi="FrankRuehl" w:cs="FrankRuehl"/>
          <w:sz w:val="28"/>
          <w:szCs w:val="28"/>
          <w:rtl/>
        </w:rPr>
        <w:t>אותן סמכויות</w:t>
      </w:r>
      <w:r w:rsidR="00EB3DF1" w:rsidRPr="001A0B66">
        <w:rPr>
          <w:rFonts w:ascii="FrankRuehl" w:hAnsi="FrankRuehl" w:cs="FrankRuehl"/>
          <w:sz w:val="28"/>
          <w:szCs w:val="28"/>
          <w:rtl/>
        </w:rPr>
        <w:t xml:space="preserve">. </w:t>
      </w:r>
    </w:p>
    <w:p w14:paraId="67D4E9ED" w14:textId="77777777" w:rsidR="00FA3C16" w:rsidRPr="001A0B66" w:rsidRDefault="00B3250D" w:rsidP="00F307FB">
      <w:pPr>
        <w:pStyle w:val="Heading2"/>
        <w:spacing w:line="276" w:lineRule="auto"/>
        <w:rPr>
          <w:rFonts w:ascii="FrankRuehl" w:hAnsi="FrankRuehl" w:cs="FrankRuehl"/>
          <w:sz w:val="28"/>
          <w:szCs w:val="28"/>
          <w:rtl/>
        </w:rPr>
      </w:pPr>
      <w:bookmarkStart w:id="28" w:name="_Toc52981438"/>
      <w:bookmarkStart w:id="29" w:name="_Toc52984557"/>
      <w:bookmarkStart w:id="30" w:name="_Toc53124423"/>
      <w:bookmarkStart w:id="31" w:name="_Toc53143374"/>
      <w:r w:rsidRPr="001A0B66">
        <w:rPr>
          <w:rFonts w:ascii="FrankRuehl" w:hAnsi="FrankRuehl" w:cs="FrankRuehl"/>
          <w:sz w:val="28"/>
          <w:szCs w:val="28"/>
          <w:rtl/>
        </w:rPr>
        <w:t>מודלים להתמודדות עם בעיית הראיות החסויות</w:t>
      </w:r>
      <w:bookmarkEnd w:id="28"/>
      <w:bookmarkEnd w:id="29"/>
      <w:bookmarkEnd w:id="30"/>
      <w:bookmarkEnd w:id="31"/>
    </w:p>
    <w:p w14:paraId="6E1F22B4" w14:textId="77777777" w:rsidR="00CA25E8" w:rsidRPr="001A0B66" w:rsidRDefault="00FA3C16" w:rsidP="00CF2659">
      <w:pPr>
        <w:pStyle w:val="a1"/>
        <w:spacing w:line="276" w:lineRule="auto"/>
        <w:rPr>
          <w:rFonts w:ascii="FrankRuehl" w:hAnsi="FrankRuehl" w:cs="FrankRuehl"/>
          <w:sz w:val="28"/>
          <w:szCs w:val="28"/>
          <w:rtl/>
        </w:rPr>
      </w:pPr>
      <w:r w:rsidRPr="001A0B66">
        <w:rPr>
          <w:rFonts w:ascii="FrankRuehl" w:hAnsi="FrankRuehl" w:cs="FrankRuehl"/>
          <w:sz w:val="28"/>
          <w:szCs w:val="28"/>
          <w:rtl/>
        </w:rPr>
        <w:t>הקשיים יוצאי</w:t>
      </w:r>
      <w:r w:rsidR="00B732A4" w:rsidRPr="001A0B66">
        <w:rPr>
          <w:rFonts w:ascii="FrankRuehl" w:hAnsi="FrankRuehl" w:cs="FrankRuehl"/>
          <w:sz w:val="28"/>
          <w:szCs w:val="28"/>
          <w:rtl/>
        </w:rPr>
        <w:t xml:space="preserve"> </w:t>
      </w:r>
      <w:r w:rsidRPr="001A0B66">
        <w:rPr>
          <w:rFonts w:ascii="FrankRuehl" w:hAnsi="FrankRuehl" w:cs="FrankRuehl"/>
          <w:sz w:val="28"/>
          <w:szCs w:val="28"/>
          <w:rtl/>
        </w:rPr>
        <w:t xml:space="preserve">הדופן הטמונים בשימוש בראיות חסויות בנתיב סמכויות החירום בולטים לעין. </w:t>
      </w:r>
      <w:r w:rsidR="005D541E" w:rsidRPr="009474AC">
        <w:rPr>
          <w:rFonts w:ascii="FrankRuehl" w:hAnsi="FrankRuehl" w:cs="FrankRuehl"/>
          <w:sz w:val="28"/>
          <w:szCs w:val="28"/>
          <w:rtl/>
        </w:rPr>
        <w:t xml:space="preserve">נתבונן בדוגמא הפרדיגמטית של סמכויות אלה – המעצר </w:t>
      </w:r>
      <w:proofErr w:type="spellStart"/>
      <w:r w:rsidR="005D541E" w:rsidRPr="009474AC">
        <w:rPr>
          <w:rFonts w:ascii="FrankRuehl" w:hAnsi="FrankRuehl" w:cs="FrankRuehl"/>
          <w:sz w:val="28"/>
          <w:szCs w:val="28"/>
          <w:rtl/>
        </w:rPr>
        <w:t>המינהלי</w:t>
      </w:r>
      <w:proofErr w:type="spellEnd"/>
      <w:r w:rsidR="005D541E" w:rsidRPr="009474AC">
        <w:rPr>
          <w:rFonts w:ascii="FrankRuehl" w:hAnsi="FrankRuehl" w:cs="FrankRuehl"/>
          <w:sz w:val="28"/>
          <w:szCs w:val="28"/>
          <w:rtl/>
        </w:rPr>
        <w:t xml:space="preserve">. </w:t>
      </w:r>
      <w:r w:rsidR="00260369" w:rsidRPr="009474AC">
        <w:rPr>
          <w:rFonts w:ascii="FrankRuehl" w:hAnsi="FrankRuehl" w:cs="FrankRuehl"/>
          <w:sz w:val="28"/>
          <w:szCs w:val="28"/>
          <w:rtl/>
        </w:rPr>
        <w:t>הפרקטיקה השגורה היא שבעת הוצאת צו המעצר מפורטות בו</w:t>
      </w:r>
      <w:r w:rsidRPr="009474AC">
        <w:rPr>
          <w:rFonts w:ascii="FrankRuehl" w:hAnsi="FrankRuehl" w:cs="FrankRuehl"/>
          <w:sz w:val="28"/>
          <w:szCs w:val="28"/>
          <w:rtl/>
        </w:rPr>
        <w:t xml:space="preserve"> באורח לקוני</w:t>
      </w:r>
      <w:r w:rsidR="001D2BD1" w:rsidRPr="009474AC">
        <w:rPr>
          <w:rFonts w:ascii="FrankRuehl" w:hAnsi="FrankRuehl" w:cs="FrankRuehl"/>
          <w:sz w:val="28"/>
          <w:szCs w:val="28"/>
          <w:rtl/>
        </w:rPr>
        <w:t xml:space="preserve"> ה</w:t>
      </w:r>
      <w:r w:rsidRPr="009474AC">
        <w:rPr>
          <w:rFonts w:ascii="FrankRuehl" w:hAnsi="FrankRuehl" w:cs="FrankRuehl"/>
          <w:sz w:val="28"/>
          <w:szCs w:val="28"/>
          <w:rtl/>
        </w:rPr>
        <w:t xml:space="preserve">טענות </w:t>
      </w:r>
      <w:r w:rsidR="001D2BD1" w:rsidRPr="009474AC">
        <w:rPr>
          <w:rFonts w:ascii="FrankRuehl" w:hAnsi="FrankRuehl" w:cs="FrankRuehl"/>
          <w:sz w:val="28"/>
          <w:szCs w:val="28"/>
          <w:rtl/>
        </w:rPr>
        <w:t>כלפי העצור</w:t>
      </w:r>
      <w:r w:rsidRPr="009474AC">
        <w:rPr>
          <w:rFonts w:ascii="FrankRuehl" w:hAnsi="FrankRuehl" w:cs="FrankRuehl"/>
          <w:sz w:val="28"/>
          <w:szCs w:val="28"/>
          <w:rtl/>
        </w:rPr>
        <w:t xml:space="preserve"> באמצעות תמצית דברים </w:t>
      </w:r>
      <w:r w:rsidR="001D2BD1" w:rsidRPr="009474AC">
        <w:rPr>
          <w:rFonts w:ascii="FrankRuehl" w:hAnsi="FrankRuehl" w:cs="FrankRuehl"/>
          <w:sz w:val="28"/>
          <w:szCs w:val="28"/>
          <w:rtl/>
        </w:rPr>
        <w:t>ש</w:t>
      </w:r>
      <w:r w:rsidR="00260369" w:rsidRPr="009474AC">
        <w:rPr>
          <w:rFonts w:ascii="FrankRuehl" w:hAnsi="FrankRuehl" w:cs="FrankRuehl"/>
          <w:sz w:val="28"/>
          <w:szCs w:val="28"/>
          <w:rtl/>
        </w:rPr>
        <w:t>מכונה</w:t>
      </w:r>
      <w:r w:rsidRPr="009474AC">
        <w:rPr>
          <w:rFonts w:ascii="FrankRuehl" w:hAnsi="FrankRuehl" w:cs="FrankRuehl"/>
          <w:sz w:val="28"/>
          <w:szCs w:val="28"/>
          <w:rtl/>
        </w:rPr>
        <w:t xml:space="preserve"> פרפרזה.</w:t>
      </w:r>
      <w:r w:rsidR="008F465E" w:rsidRPr="009474AC">
        <w:rPr>
          <w:rStyle w:val="FootnoteReference"/>
          <w:rFonts w:ascii="FrankRuehl" w:hAnsi="FrankRuehl" w:cs="FrankRuehl"/>
          <w:sz w:val="28"/>
          <w:szCs w:val="28"/>
          <w:rtl/>
        </w:rPr>
        <w:footnoteReference w:id="21"/>
      </w:r>
      <w:r w:rsidRPr="009474AC">
        <w:rPr>
          <w:rFonts w:ascii="FrankRuehl" w:hAnsi="FrankRuehl" w:cs="FrankRuehl"/>
          <w:sz w:val="28"/>
          <w:szCs w:val="28"/>
          <w:rtl/>
        </w:rPr>
        <w:t xml:space="preserve"> תמצית זו היא לרוב </w:t>
      </w:r>
      <w:r w:rsidR="00824336" w:rsidRPr="009474AC">
        <w:rPr>
          <w:rFonts w:ascii="FrankRuehl" w:hAnsi="FrankRuehl" w:cs="FrankRuehl"/>
          <w:sz w:val="28"/>
          <w:szCs w:val="28"/>
          <w:rtl/>
        </w:rPr>
        <w:t xml:space="preserve">לקונית </w:t>
      </w:r>
      <w:r w:rsidRPr="009474AC">
        <w:rPr>
          <w:rFonts w:ascii="FrankRuehl" w:hAnsi="FrankRuehl" w:cs="FrankRuehl"/>
          <w:sz w:val="28"/>
          <w:szCs w:val="28"/>
          <w:rtl/>
        </w:rPr>
        <w:t>במיוחד</w:t>
      </w:r>
      <w:r w:rsidR="00260369" w:rsidRPr="009474AC">
        <w:rPr>
          <w:rFonts w:ascii="FrankRuehl" w:hAnsi="FrankRuehl" w:cs="FrankRuehl"/>
          <w:sz w:val="28"/>
          <w:szCs w:val="28"/>
          <w:rtl/>
        </w:rPr>
        <w:t xml:space="preserve"> ומסתפקת במתן כותרת לאותן טענות</w:t>
      </w:r>
      <w:r w:rsidRPr="001A0B66">
        <w:rPr>
          <w:rFonts w:ascii="FrankRuehl" w:hAnsi="FrankRuehl" w:cs="FrankRuehl"/>
          <w:sz w:val="28"/>
          <w:szCs w:val="28"/>
          <w:rtl/>
        </w:rPr>
        <w:t xml:space="preserve"> (למשל: האיש הוא חבר בזרוע הצבאית של החמאס)</w:t>
      </w:r>
      <w:r w:rsidR="008541C0" w:rsidRPr="001A0B66">
        <w:rPr>
          <w:rFonts w:ascii="FrankRuehl" w:hAnsi="FrankRuehl" w:cs="FrankRuehl"/>
          <w:sz w:val="28"/>
          <w:szCs w:val="28"/>
          <w:rtl/>
        </w:rPr>
        <w:t>,</w:t>
      </w:r>
      <w:r w:rsidRPr="001A0B66">
        <w:rPr>
          <w:rFonts w:ascii="FrankRuehl" w:hAnsi="FrankRuehl" w:cs="FrankRuehl"/>
          <w:sz w:val="28"/>
          <w:szCs w:val="28"/>
          <w:rtl/>
        </w:rPr>
        <w:t xml:space="preserve"> </w:t>
      </w:r>
      <w:r w:rsidR="008541C0" w:rsidRPr="001A0B66">
        <w:rPr>
          <w:rFonts w:ascii="FrankRuehl" w:hAnsi="FrankRuehl" w:cs="FrankRuehl"/>
          <w:sz w:val="28"/>
          <w:szCs w:val="28"/>
          <w:rtl/>
        </w:rPr>
        <w:t>ו</w:t>
      </w:r>
      <w:r w:rsidRPr="001A0B66">
        <w:rPr>
          <w:rFonts w:ascii="FrankRuehl" w:hAnsi="FrankRuehl" w:cs="FrankRuehl"/>
          <w:sz w:val="28"/>
          <w:szCs w:val="28"/>
          <w:rtl/>
        </w:rPr>
        <w:t>חומר הראיות</w:t>
      </w:r>
      <w:r w:rsidR="008541C0" w:rsidRPr="001A0B66">
        <w:rPr>
          <w:rFonts w:ascii="FrankRuehl" w:hAnsi="FrankRuehl" w:cs="FrankRuehl"/>
          <w:sz w:val="28"/>
          <w:szCs w:val="28"/>
          <w:rtl/>
        </w:rPr>
        <w:t xml:space="preserve"> עצמו</w:t>
      </w:r>
      <w:r w:rsidRPr="001A0B66">
        <w:rPr>
          <w:rFonts w:ascii="FrankRuehl" w:hAnsi="FrankRuehl" w:cs="FrankRuehl"/>
          <w:sz w:val="28"/>
          <w:szCs w:val="28"/>
          <w:rtl/>
        </w:rPr>
        <w:t xml:space="preserve"> נותר חסוי. בחומר זה יכול בית המשפט לעיין</w:t>
      </w:r>
      <w:r w:rsidR="008F0CC3" w:rsidRPr="001A0B66">
        <w:rPr>
          <w:rFonts w:ascii="FrankRuehl" w:hAnsi="FrankRuehl" w:cs="FrankRuehl"/>
          <w:sz w:val="28"/>
          <w:szCs w:val="28"/>
          <w:rtl/>
        </w:rPr>
        <w:t xml:space="preserve"> בהסכמת העצור ובאת כוחו</w:t>
      </w:r>
      <w:r w:rsidR="00597EC1" w:rsidRPr="001A0B66">
        <w:rPr>
          <w:rFonts w:ascii="FrankRuehl" w:hAnsi="FrankRuehl" w:cs="FrankRuehl"/>
          <w:sz w:val="28"/>
          <w:szCs w:val="28"/>
          <w:vertAlign w:val="superscript"/>
          <w:rtl/>
        </w:rPr>
        <w:footnoteReference w:id="22"/>
      </w:r>
      <w:r w:rsidR="008F0CC3" w:rsidRPr="001A0B66">
        <w:rPr>
          <w:rFonts w:ascii="FrankRuehl" w:hAnsi="FrankRuehl" w:cs="FrankRuehl"/>
          <w:sz w:val="28"/>
          <w:szCs w:val="28"/>
          <w:rtl/>
        </w:rPr>
        <w:t xml:space="preserve"> </w:t>
      </w:r>
      <w:r w:rsidRPr="001A0B66">
        <w:rPr>
          <w:rFonts w:ascii="FrankRuehl" w:hAnsi="FrankRuehl" w:cs="FrankRuehl"/>
          <w:sz w:val="28"/>
          <w:szCs w:val="28"/>
          <w:rtl/>
        </w:rPr>
        <w:t xml:space="preserve">במעמד צד אחד בלשכתו של השופט, </w:t>
      </w:r>
      <w:r w:rsidR="008F0CC3" w:rsidRPr="001A0B66">
        <w:rPr>
          <w:rFonts w:ascii="FrankRuehl" w:hAnsi="FrankRuehl" w:cs="FrankRuehl"/>
          <w:sz w:val="28"/>
          <w:szCs w:val="28"/>
          <w:rtl/>
        </w:rPr>
        <w:t>והוא עשוי לקבל</w:t>
      </w:r>
      <w:r w:rsidR="004260C0" w:rsidRPr="001A0B66">
        <w:rPr>
          <w:rFonts w:ascii="FrankRuehl" w:hAnsi="FrankRuehl" w:cs="FrankRuehl"/>
          <w:sz w:val="28"/>
          <w:szCs w:val="28"/>
          <w:rtl/>
        </w:rPr>
        <w:t xml:space="preserve"> עליו</w:t>
      </w:r>
      <w:r w:rsidR="008F0CC3" w:rsidRPr="001A0B66">
        <w:rPr>
          <w:rFonts w:ascii="FrankRuehl" w:hAnsi="FrankRuehl" w:cs="FrankRuehl"/>
          <w:sz w:val="28"/>
          <w:szCs w:val="28"/>
          <w:rtl/>
        </w:rPr>
        <w:t xml:space="preserve"> הסבר </w:t>
      </w:r>
      <w:r w:rsidRPr="001A0B66">
        <w:rPr>
          <w:rFonts w:ascii="FrankRuehl" w:hAnsi="FrankRuehl" w:cs="FrankRuehl"/>
          <w:sz w:val="28"/>
          <w:szCs w:val="28"/>
          <w:rtl/>
        </w:rPr>
        <w:t>מ"כלי שלישי" (מפרקליט מטעם המדינה או הצבא שאליו מועברים חומרים מהמחלקה המשפטית של השב"כ, המקבלת את המידע מחוקרי השב"כ).</w:t>
      </w:r>
      <w:r w:rsidR="005C0B2F" w:rsidRPr="001A0B66">
        <w:rPr>
          <w:rStyle w:val="FootnoteReference"/>
          <w:rFonts w:ascii="FrankRuehl" w:hAnsi="FrankRuehl" w:cs="FrankRuehl"/>
          <w:sz w:val="28"/>
          <w:szCs w:val="28"/>
          <w:rtl/>
        </w:rPr>
        <w:footnoteReference w:id="23"/>
      </w:r>
      <w:r w:rsidRPr="001A0B66">
        <w:rPr>
          <w:rFonts w:ascii="FrankRuehl" w:hAnsi="FrankRuehl" w:cs="FrankRuehl"/>
          <w:sz w:val="28"/>
          <w:szCs w:val="28"/>
          <w:rtl/>
        </w:rPr>
        <w:t xml:space="preserve"> </w:t>
      </w:r>
      <w:r w:rsidR="00CA25E8" w:rsidRPr="001A0B66">
        <w:rPr>
          <w:rFonts w:ascii="FrankRuehl" w:hAnsi="FrankRuehl" w:cs="FrankRuehl"/>
          <w:sz w:val="28"/>
          <w:szCs w:val="28"/>
          <w:rtl/>
        </w:rPr>
        <w:t xml:space="preserve">יש להדגיש כי מלבד </w:t>
      </w:r>
      <w:r w:rsidR="004260C0" w:rsidRPr="001A0B66">
        <w:rPr>
          <w:rFonts w:ascii="FrankRuehl" w:hAnsi="FrankRuehl" w:cs="FrankRuehl"/>
          <w:sz w:val="28"/>
          <w:szCs w:val="28"/>
          <w:rtl/>
        </w:rPr>
        <w:t xml:space="preserve">היותן </w:t>
      </w:r>
      <w:r w:rsidR="00EB3DF1" w:rsidRPr="001A0B66">
        <w:rPr>
          <w:rFonts w:ascii="FrankRuehl" w:hAnsi="FrankRuehl" w:cs="FrankRuehl"/>
          <w:sz w:val="28"/>
          <w:szCs w:val="28"/>
          <w:rtl/>
        </w:rPr>
        <w:t>של הראיות</w:t>
      </w:r>
      <w:r w:rsidR="004260C0" w:rsidRPr="001A0B66">
        <w:rPr>
          <w:rFonts w:ascii="FrankRuehl" w:hAnsi="FrankRuehl" w:cs="FrankRuehl"/>
          <w:sz w:val="28"/>
          <w:szCs w:val="28"/>
          <w:rtl/>
        </w:rPr>
        <w:t xml:space="preserve"> חסויות</w:t>
      </w:r>
      <w:r w:rsidR="00CA25E8" w:rsidRPr="001A0B66">
        <w:rPr>
          <w:rFonts w:ascii="FrankRuehl" w:hAnsi="FrankRuehl" w:cs="FrankRuehl"/>
          <w:sz w:val="28"/>
          <w:szCs w:val="28"/>
          <w:rtl/>
        </w:rPr>
        <w:t>, מדובר בחומר מודיעיני שאינו כפוף לתנאי הקבילות של ראיות</w:t>
      </w:r>
      <w:r w:rsidR="00D07CE0" w:rsidRPr="001A0B66">
        <w:rPr>
          <w:rFonts w:ascii="FrankRuehl" w:hAnsi="FrankRuehl" w:cs="FrankRuehl"/>
          <w:sz w:val="28"/>
          <w:szCs w:val="28"/>
          <w:rtl/>
        </w:rPr>
        <w:t xml:space="preserve"> בהליך פלילי</w:t>
      </w:r>
      <w:r w:rsidR="00CA25E8" w:rsidRPr="001A0B66">
        <w:rPr>
          <w:rFonts w:ascii="FrankRuehl" w:hAnsi="FrankRuehl" w:cs="FrankRuehl"/>
          <w:sz w:val="28"/>
          <w:szCs w:val="28"/>
          <w:rtl/>
        </w:rPr>
        <w:t>. פירושו של דבר</w:t>
      </w:r>
      <w:r w:rsidR="00BA21FC" w:rsidRPr="001A0B66">
        <w:rPr>
          <w:rFonts w:ascii="FrankRuehl" w:hAnsi="FrankRuehl" w:cs="FrankRuehl"/>
          <w:sz w:val="28"/>
          <w:szCs w:val="28"/>
          <w:rtl/>
        </w:rPr>
        <w:t>, בין היתר, הוא ש</w:t>
      </w:r>
      <w:r w:rsidR="00CA25E8" w:rsidRPr="001A0B66">
        <w:rPr>
          <w:rFonts w:ascii="FrankRuehl" w:hAnsi="FrankRuehl" w:cs="FrankRuehl"/>
          <w:sz w:val="28"/>
          <w:szCs w:val="28"/>
          <w:rtl/>
        </w:rPr>
        <w:t>שמות המקורות המודיעיניים נותרים חסויים</w:t>
      </w:r>
      <w:r w:rsidR="00BA21FC" w:rsidRPr="001A0B66">
        <w:rPr>
          <w:rFonts w:ascii="FrankRuehl" w:hAnsi="FrankRuehl" w:cs="FrankRuehl"/>
          <w:sz w:val="28"/>
          <w:szCs w:val="28"/>
          <w:rtl/>
        </w:rPr>
        <w:t xml:space="preserve"> (ויש לזכור עוד</w:t>
      </w:r>
      <w:r w:rsidR="00CA25E8" w:rsidRPr="001A0B66">
        <w:rPr>
          <w:rFonts w:ascii="FrankRuehl" w:hAnsi="FrankRuehl" w:cs="FrankRuehl"/>
          <w:sz w:val="28"/>
          <w:szCs w:val="28"/>
          <w:rtl/>
        </w:rPr>
        <w:t xml:space="preserve"> כי חלקם אנשים המקבלים תמורה בצורות שונות </w:t>
      </w:r>
      <w:r w:rsidR="00BA21FC" w:rsidRPr="001A0B66">
        <w:rPr>
          <w:rFonts w:ascii="FrankRuehl" w:hAnsi="FrankRuehl" w:cs="FrankRuehl"/>
          <w:sz w:val="28"/>
          <w:szCs w:val="28"/>
          <w:rtl/>
        </w:rPr>
        <w:t>עבור</w:t>
      </w:r>
      <w:r w:rsidR="00CA25E8" w:rsidRPr="001A0B66">
        <w:rPr>
          <w:rFonts w:ascii="FrankRuehl" w:hAnsi="FrankRuehl" w:cs="FrankRuehl"/>
          <w:sz w:val="28"/>
          <w:szCs w:val="28"/>
          <w:rtl/>
        </w:rPr>
        <w:t xml:space="preserve"> פעילותם המודיעינית</w:t>
      </w:r>
      <w:r w:rsidR="00BA21FC" w:rsidRPr="001A0B66">
        <w:rPr>
          <w:rFonts w:ascii="FrankRuehl" w:hAnsi="FrankRuehl" w:cs="FrankRuehl"/>
          <w:sz w:val="28"/>
          <w:szCs w:val="28"/>
          <w:rtl/>
        </w:rPr>
        <w:t>)</w:t>
      </w:r>
      <w:r w:rsidR="00CA25E8" w:rsidRPr="001A0B66">
        <w:rPr>
          <w:rFonts w:ascii="FrankRuehl" w:hAnsi="FrankRuehl" w:cs="FrankRuehl"/>
          <w:sz w:val="28"/>
          <w:szCs w:val="28"/>
          <w:rtl/>
        </w:rPr>
        <w:t xml:space="preserve">, </w:t>
      </w:r>
      <w:r w:rsidR="004260C0" w:rsidRPr="001A0B66">
        <w:rPr>
          <w:rFonts w:ascii="FrankRuehl" w:hAnsi="FrankRuehl" w:cs="FrankRuehl"/>
          <w:sz w:val="28"/>
          <w:szCs w:val="28"/>
          <w:rtl/>
        </w:rPr>
        <w:t>וש</w:t>
      </w:r>
      <w:r w:rsidR="00CA25E8" w:rsidRPr="001A0B66">
        <w:rPr>
          <w:rFonts w:ascii="FrankRuehl" w:hAnsi="FrankRuehl" w:cs="FrankRuehl"/>
          <w:sz w:val="28"/>
          <w:szCs w:val="28"/>
          <w:rtl/>
        </w:rPr>
        <w:t>הראיות יכולות גם לכלול עדויות מפי השמועה שאינן מאומתות ול</w:t>
      </w:r>
      <w:r w:rsidR="001D0D92" w:rsidRPr="001A0B66">
        <w:rPr>
          <w:rFonts w:ascii="FrankRuehl" w:hAnsi="FrankRuehl" w:cs="FrankRuehl"/>
          <w:sz w:val="28"/>
          <w:szCs w:val="28"/>
          <w:rtl/>
        </w:rPr>
        <w:t>כלול הע</w:t>
      </w:r>
      <w:r w:rsidR="00CA25E8" w:rsidRPr="001A0B66">
        <w:rPr>
          <w:rFonts w:ascii="FrankRuehl" w:hAnsi="FrankRuehl" w:cs="FrankRuehl"/>
          <w:sz w:val="28"/>
          <w:szCs w:val="28"/>
          <w:rtl/>
        </w:rPr>
        <w:t>רכות והשערות.</w:t>
      </w:r>
      <w:r w:rsidR="00A30202" w:rsidRPr="001A0B66">
        <w:rPr>
          <w:rStyle w:val="FootnoteReference"/>
          <w:rFonts w:ascii="FrankRuehl" w:hAnsi="FrankRuehl" w:cs="FrankRuehl"/>
          <w:sz w:val="28"/>
          <w:szCs w:val="28"/>
          <w:rtl/>
        </w:rPr>
        <w:footnoteReference w:id="24"/>
      </w:r>
      <w:r w:rsidR="00CA25E8" w:rsidRPr="001A0B66">
        <w:rPr>
          <w:rFonts w:ascii="FrankRuehl" w:hAnsi="FrankRuehl" w:cs="FrankRuehl"/>
          <w:sz w:val="28"/>
          <w:szCs w:val="28"/>
          <w:rtl/>
        </w:rPr>
        <w:t xml:space="preserve"> </w:t>
      </w:r>
      <w:r w:rsidR="00280EBF" w:rsidRPr="001A0B66">
        <w:rPr>
          <w:rFonts w:ascii="FrankRuehl" w:hAnsi="FrankRuehl" w:cs="FrankRuehl"/>
          <w:sz w:val="28"/>
          <w:szCs w:val="28"/>
          <w:rtl/>
        </w:rPr>
        <w:t>זאת ועוד</w:t>
      </w:r>
      <w:r w:rsidR="003B62EE" w:rsidRPr="001A0B66">
        <w:rPr>
          <w:rFonts w:ascii="FrankRuehl" w:hAnsi="FrankRuehl" w:cs="FrankRuehl"/>
          <w:sz w:val="28"/>
          <w:szCs w:val="28"/>
          <w:rtl/>
        </w:rPr>
        <w:t xml:space="preserve">, גם ההסברים והנימוקים שאותם זוכה העצור לשמוע </w:t>
      </w:r>
      <w:r w:rsidR="00F00230" w:rsidRPr="001A0B66">
        <w:rPr>
          <w:rFonts w:ascii="FrankRuehl" w:hAnsi="FrankRuehl" w:cs="FrankRuehl"/>
          <w:sz w:val="28"/>
          <w:szCs w:val="28"/>
          <w:rtl/>
        </w:rPr>
        <w:t xml:space="preserve">מפי </w:t>
      </w:r>
      <w:r w:rsidR="003B62EE" w:rsidRPr="001A0B66">
        <w:rPr>
          <w:rFonts w:ascii="FrankRuehl" w:hAnsi="FrankRuehl" w:cs="FrankRuehl"/>
          <w:sz w:val="28"/>
          <w:szCs w:val="28"/>
          <w:rtl/>
        </w:rPr>
        <w:t>בית המשפט הם "רזים" מאד</w:t>
      </w:r>
      <w:r w:rsidR="00280EBF" w:rsidRPr="001A0B66">
        <w:rPr>
          <w:rFonts w:ascii="FrankRuehl" w:hAnsi="FrankRuehl" w:cs="FrankRuehl"/>
          <w:sz w:val="28"/>
          <w:szCs w:val="28"/>
          <w:rtl/>
        </w:rPr>
        <w:t>: "באשר להנמקת ההחלטה [השיפוטית]. לאור העובדה שעיקרה של ההחלטה מבוסס על חומר חסוי שלא ניתן לחשוף פרטים לגביו במסגרת ההחלטה, מרביתן של ההחלטות בעתירות הנוגעות למעצרים מנהליים הינן לקוניות".</w:t>
      </w:r>
      <w:r w:rsidR="00280EBF" w:rsidRPr="001A0B66">
        <w:rPr>
          <w:rFonts w:ascii="FrankRuehl" w:hAnsi="FrankRuehl" w:cs="FrankRuehl"/>
          <w:sz w:val="28"/>
          <w:szCs w:val="28"/>
          <w:vertAlign w:val="superscript"/>
          <w:rtl/>
        </w:rPr>
        <w:footnoteReference w:id="25"/>
      </w:r>
    </w:p>
    <w:p w14:paraId="3B834C07" w14:textId="77777777" w:rsidR="00FA3C16" w:rsidRPr="001A0B66" w:rsidRDefault="00FA3C16"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בעבר ליוו חוקרי שב"כ את התיק המתבסס על ראיות חסויות, ואז יכלו השופטים להפנות אליהם שאלות ישירות</w:t>
      </w:r>
      <w:r w:rsidR="000517F3" w:rsidRPr="001A0B66">
        <w:rPr>
          <w:rFonts w:ascii="FrankRuehl" w:hAnsi="FrankRuehl" w:cs="FrankRuehl"/>
          <w:sz w:val="28"/>
          <w:szCs w:val="28"/>
          <w:rtl/>
        </w:rPr>
        <w:t>;</w:t>
      </w:r>
      <w:r w:rsidRPr="001A0B66">
        <w:rPr>
          <w:rFonts w:ascii="FrankRuehl" w:hAnsi="FrankRuehl" w:cs="FrankRuehl"/>
          <w:sz w:val="28"/>
          <w:szCs w:val="28"/>
          <w:rtl/>
        </w:rPr>
        <w:t xml:space="preserve"> אך זה שנים ארוכות שבתי המשפט </w:t>
      </w:r>
      <w:r w:rsidR="00E41FC4">
        <w:rPr>
          <w:rFonts w:ascii="FrankRuehl" w:hAnsi="FrankRuehl" w:cs="FrankRuehl"/>
          <w:sz w:val="28"/>
          <w:szCs w:val="28"/>
          <w:rtl/>
        </w:rPr>
        <w:t xml:space="preserve">הצבאיים </w:t>
      </w:r>
      <w:r w:rsidRPr="001A0B66">
        <w:rPr>
          <w:rFonts w:ascii="FrankRuehl" w:hAnsi="FrankRuehl" w:cs="FrankRuehl"/>
          <w:sz w:val="28"/>
          <w:szCs w:val="28"/>
          <w:rtl/>
        </w:rPr>
        <w:t xml:space="preserve">ויתרו על כך, </w:t>
      </w:r>
      <w:r w:rsidR="00E41FC4">
        <w:rPr>
          <w:rFonts w:ascii="FrankRuehl" w:hAnsi="FrankRuehl" w:cs="FrankRuehl"/>
          <w:sz w:val="28"/>
          <w:szCs w:val="28"/>
          <w:rtl/>
        </w:rPr>
        <w:t>ולעיתים גם בתי המשפט היושבים בערעור או בביקורת שיפוטית</w:t>
      </w:r>
      <w:r w:rsidRPr="001A0B66">
        <w:rPr>
          <w:rFonts w:ascii="FrankRuehl" w:hAnsi="FrankRuehl" w:cs="FrankRuehl"/>
          <w:sz w:val="28"/>
          <w:szCs w:val="28"/>
          <w:rtl/>
        </w:rPr>
        <w:t xml:space="preserve">. בבג"ץ </w:t>
      </w:r>
      <w:r w:rsidRPr="001A0B66">
        <w:rPr>
          <w:rFonts w:ascii="FrankRuehl" w:hAnsi="FrankRuehl" w:cs="FrankRuehl"/>
          <w:b/>
          <w:bCs/>
          <w:sz w:val="28"/>
          <w:szCs w:val="28"/>
          <w:rtl/>
        </w:rPr>
        <w:t xml:space="preserve">עברה </w:t>
      </w:r>
      <w:r w:rsidR="009474AC" w:rsidRPr="009474AC">
        <w:rPr>
          <w:rFonts w:ascii="FrankRuehl" w:hAnsi="FrankRuehl" w:cs="FrankRuehl"/>
          <w:sz w:val="28"/>
          <w:szCs w:val="28"/>
          <w:rtl/>
        </w:rPr>
        <w:t xml:space="preserve">תיאר </w:t>
      </w:r>
      <w:r w:rsidRPr="001A0B66">
        <w:rPr>
          <w:rFonts w:ascii="FrankRuehl" w:hAnsi="FrankRuehl" w:cs="FrankRuehl"/>
          <w:sz w:val="28"/>
          <w:szCs w:val="28"/>
          <w:rtl/>
        </w:rPr>
        <w:t xml:space="preserve">השופט שֹהם </w:t>
      </w:r>
      <w:r w:rsidR="009474AC">
        <w:rPr>
          <w:rFonts w:ascii="FrankRuehl" w:hAnsi="FrankRuehl" w:cs="FrankRuehl"/>
          <w:sz w:val="28"/>
          <w:szCs w:val="28"/>
          <w:rtl/>
        </w:rPr>
        <w:t>את ה</w:t>
      </w:r>
      <w:r w:rsidRPr="001A0B66">
        <w:rPr>
          <w:rFonts w:ascii="FrankRuehl" w:hAnsi="FrankRuehl" w:cs="FrankRuehl"/>
          <w:sz w:val="28"/>
          <w:szCs w:val="28"/>
          <w:rtl/>
        </w:rPr>
        <w:t>שינוי שהתרחש בהתנהלות המדינה בהליכי מעצר מנהלי ודומיהם</w:t>
      </w:r>
      <w:r w:rsidR="000517F3" w:rsidRPr="001A0B66">
        <w:rPr>
          <w:rFonts w:ascii="FrankRuehl" w:hAnsi="FrankRuehl" w:cs="FrankRuehl"/>
          <w:sz w:val="28"/>
          <w:szCs w:val="28"/>
          <w:rtl/>
        </w:rPr>
        <w:t>,</w:t>
      </w:r>
      <w:r w:rsidRPr="001A0B66">
        <w:rPr>
          <w:rFonts w:ascii="FrankRuehl" w:hAnsi="FrankRuehl" w:cs="FrankRuehl"/>
          <w:sz w:val="28"/>
          <w:szCs w:val="28"/>
          <w:rtl/>
        </w:rPr>
        <w:t xml:space="preserve"> </w:t>
      </w:r>
      <w:r w:rsidR="00B62D49">
        <w:rPr>
          <w:rFonts w:ascii="FrankRuehl" w:hAnsi="FrankRuehl" w:cs="FrankRuehl"/>
          <w:sz w:val="28"/>
          <w:szCs w:val="28"/>
          <w:rtl/>
        </w:rPr>
        <w:t xml:space="preserve">לפחות בשטחים, </w:t>
      </w:r>
      <w:r w:rsidRPr="001A0B66">
        <w:rPr>
          <w:rFonts w:ascii="FrankRuehl" w:hAnsi="FrankRuehl" w:cs="FrankRuehl"/>
          <w:sz w:val="28"/>
          <w:szCs w:val="28"/>
          <w:rtl/>
        </w:rPr>
        <w:t xml:space="preserve">שינוי </w:t>
      </w:r>
      <w:r w:rsidR="000517F3" w:rsidRPr="001A0B66">
        <w:rPr>
          <w:rFonts w:ascii="FrankRuehl" w:hAnsi="FrankRuehl" w:cs="FrankRuehl"/>
          <w:sz w:val="28"/>
          <w:szCs w:val="28"/>
          <w:rtl/>
        </w:rPr>
        <w:t>ש</w:t>
      </w:r>
      <w:r w:rsidRPr="001A0B66">
        <w:rPr>
          <w:rFonts w:ascii="FrankRuehl" w:hAnsi="FrankRuehl" w:cs="FrankRuehl"/>
          <w:sz w:val="28"/>
          <w:szCs w:val="28"/>
          <w:rtl/>
        </w:rPr>
        <w:t>השלכות</w:t>
      </w:r>
      <w:r w:rsidR="000517F3" w:rsidRPr="001A0B66">
        <w:rPr>
          <w:rFonts w:ascii="FrankRuehl" w:hAnsi="FrankRuehl" w:cs="FrankRuehl"/>
          <w:sz w:val="28"/>
          <w:szCs w:val="28"/>
          <w:rtl/>
        </w:rPr>
        <w:t>יו</w:t>
      </w:r>
      <w:r w:rsidRPr="001A0B66">
        <w:rPr>
          <w:rFonts w:ascii="FrankRuehl" w:hAnsi="FrankRuehl" w:cs="FrankRuehl"/>
          <w:sz w:val="28"/>
          <w:szCs w:val="28"/>
          <w:rtl/>
        </w:rPr>
        <w:t xml:space="preserve"> דרמטיות: "על-פי הפרקטיקה שהתגבשה בדיונים מעין אלה, מופיע התובע הצבאי בגפו, מבלי שהוא מלווה, כפי שהיה נהוג בעבר, על-ידי נציג השב"כ".</w:t>
      </w:r>
      <w:bookmarkStart w:id="32" w:name="_Ref53036106"/>
      <w:r w:rsidRPr="001A0B66">
        <w:rPr>
          <w:rFonts w:ascii="FrankRuehl" w:hAnsi="FrankRuehl" w:cs="FrankRuehl"/>
          <w:sz w:val="28"/>
          <w:szCs w:val="28"/>
          <w:vertAlign w:val="superscript"/>
          <w:rtl/>
        </w:rPr>
        <w:footnoteReference w:id="26"/>
      </w:r>
      <w:bookmarkEnd w:id="32"/>
      <w:r w:rsidRPr="001A0B66">
        <w:rPr>
          <w:rFonts w:ascii="FrankRuehl" w:hAnsi="FrankRuehl" w:cs="FrankRuehl"/>
          <w:sz w:val="28"/>
          <w:szCs w:val="28"/>
          <w:rtl/>
        </w:rPr>
        <w:t xml:space="preserve"> </w:t>
      </w:r>
      <w:r w:rsidR="00E43698" w:rsidRPr="001A0B66">
        <w:rPr>
          <w:rFonts w:ascii="FrankRuehl" w:hAnsi="FrankRuehl" w:cs="FrankRuehl"/>
          <w:sz w:val="28"/>
          <w:szCs w:val="28"/>
          <w:rtl/>
        </w:rPr>
        <w:t xml:space="preserve">גם </w:t>
      </w:r>
      <w:r w:rsidR="000517F3" w:rsidRPr="001A0B66">
        <w:rPr>
          <w:rFonts w:ascii="FrankRuehl" w:hAnsi="FrankRuehl" w:cs="FrankRuehl"/>
          <w:sz w:val="28"/>
          <w:szCs w:val="28"/>
          <w:rtl/>
        </w:rPr>
        <w:t xml:space="preserve">השופט שאול גורדון, בעת שכיהן בתפקיד </w:t>
      </w:r>
      <w:r w:rsidRPr="001A0B66">
        <w:rPr>
          <w:rFonts w:ascii="FrankRuehl" w:hAnsi="FrankRuehl" w:cs="FrankRuehl"/>
          <w:sz w:val="28"/>
          <w:szCs w:val="28"/>
          <w:rtl/>
        </w:rPr>
        <w:t>נשיא בית המשפט הצבאי לערעורים, פירט באופן בהיר את גדר האפשר</w:t>
      </w:r>
      <w:r w:rsidR="000517F3" w:rsidRPr="001A0B66">
        <w:rPr>
          <w:rFonts w:ascii="FrankRuehl" w:hAnsi="FrankRuehl" w:cs="FrankRuehl"/>
          <w:sz w:val="28"/>
          <w:szCs w:val="28"/>
          <w:rtl/>
        </w:rPr>
        <w:t xml:space="preserve"> –</w:t>
      </w:r>
      <w:r w:rsidRPr="001A0B66">
        <w:rPr>
          <w:rFonts w:ascii="FrankRuehl" w:hAnsi="FrankRuehl" w:cs="FrankRuehl"/>
          <w:sz w:val="28"/>
          <w:szCs w:val="28"/>
          <w:rtl/>
        </w:rPr>
        <w:t xml:space="preserve"> ו</w:t>
      </w:r>
      <w:r w:rsidR="000517F3" w:rsidRPr="001A0B66">
        <w:rPr>
          <w:rFonts w:ascii="FrankRuehl" w:hAnsi="FrankRuehl" w:cs="FrankRuehl"/>
          <w:sz w:val="28"/>
          <w:szCs w:val="28"/>
          <w:rtl/>
        </w:rPr>
        <w:t>לצד זאת</w:t>
      </w:r>
      <w:r w:rsidRPr="001A0B66">
        <w:rPr>
          <w:rFonts w:ascii="FrankRuehl" w:hAnsi="FrankRuehl" w:cs="FrankRuehl"/>
          <w:sz w:val="28"/>
          <w:szCs w:val="28"/>
          <w:rtl/>
        </w:rPr>
        <w:t xml:space="preserve"> את </w:t>
      </w:r>
      <w:r w:rsidR="000517F3" w:rsidRPr="001A0B66">
        <w:rPr>
          <w:rFonts w:ascii="FrankRuehl" w:hAnsi="FrankRuehl" w:cs="FrankRuehl"/>
          <w:sz w:val="28"/>
          <w:szCs w:val="28"/>
          <w:rtl/>
        </w:rPr>
        <w:t>ה</w:t>
      </w:r>
      <w:r w:rsidRPr="001A0B66">
        <w:rPr>
          <w:rFonts w:ascii="FrankRuehl" w:hAnsi="FrankRuehl" w:cs="FrankRuehl"/>
          <w:sz w:val="28"/>
          <w:szCs w:val="28"/>
          <w:rtl/>
        </w:rPr>
        <w:t>מתקיים</w:t>
      </w:r>
      <w:r w:rsidR="000517F3" w:rsidRPr="001A0B66">
        <w:rPr>
          <w:rFonts w:ascii="FrankRuehl" w:hAnsi="FrankRuehl" w:cs="FrankRuehl"/>
          <w:sz w:val="28"/>
          <w:szCs w:val="28"/>
          <w:rtl/>
        </w:rPr>
        <w:t xml:space="preserve"> בפועל</w:t>
      </w:r>
      <w:r w:rsidR="00A778BD" w:rsidRPr="001A0B66">
        <w:rPr>
          <w:rFonts w:ascii="FrankRuehl" w:hAnsi="FrankRuehl" w:cs="FrankRuehl"/>
          <w:sz w:val="28"/>
          <w:szCs w:val="28"/>
          <w:rtl/>
        </w:rPr>
        <w:t xml:space="preserve"> </w:t>
      </w:r>
      <w:r w:rsidR="000517F3" w:rsidRPr="001A0B66">
        <w:rPr>
          <w:rFonts w:ascii="FrankRuehl" w:hAnsi="FrankRuehl" w:cs="FrankRuehl"/>
          <w:sz w:val="28"/>
          <w:szCs w:val="28"/>
          <w:rtl/>
        </w:rPr>
        <w:t xml:space="preserve">– </w:t>
      </w:r>
      <w:r w:rsidRPr="001A0B66">
        <w:rPr>
          <w:rFonts w:ascii="FrankRuehl" w:hAnsi="FrankRuehl" w:cs="FrankRuehl"/>
          <w:sz w:val="28"/>
          <w:szCs w:val="28"/>
          <w:rtl/>
        </w:rPr>
        <w:t>בהחלטה עקרונית</w:t>
      </w:r>
      <w:r w:rsidR="008F0CC3" w:rsidRPr="001A0B66">
        <w:rPr>
          <w:rFonts w:ascii="FrankRuehl" w:hAnsi="FrankRuehl" w:cs="FrankRuehl"/>
          <w:sz w:val="28"/>
          <w:szCs w:val="28"/>
          <w:rtl/>
        </w:rPr>
        <w:t xml:space="preserve"> </w:t>
      </w:r>
      <w:r w:rsidRPr="001A0B66">
        <w:rPr>
          <w:rFonts w:ascii="FrankRuehl" w:hAnsi="FrankRuehl" w:cs="FrankRuehl"/>
          <w:sz w:val="28"/>
          <w:szCs w:val="28"/>
          <w:rtl/>
        </w:rPr>
        <w:t>משנת 2002:</w:t>
      </w:r>
      <w:r w:rsidR="00595C93" w:rsidRPr="00595C93">
        <w:rPr>
          <w:rFonts w:ascii="FrankRuehl" w:hAnsi="FrankRuehl" w:cs="FrankRuehl"/>
          <w:sz w:val="28"/>
          <w:szCs w:val="28"/>
          <w:vertAlign w:val="superscript"/>
          <w:rtl/>
        </w:rPr>
        <w:t xml:space="preserve"> </w:t>
      </w:r>
      <w:r w:rsidR="00595C93" w:rsidRPr="001A0B66">
        <w:rPr>
          <w:rFonts w:ascii="FrankRuehl" w:hAnsi="FrankRuehl" w:cs="FrankRuehl"/>
          <w:sz w:val="28"/>
          <w:szCs w:val="28"/>
          <w:vertAlign w:val="superscript"/>
          <w:rtl/>
        </w:rPr>
        <w:footnoteReference w:id="27"/>
      </w:r>
    </w:p>
    <w:p w14:paraId="37086D1A" w14:textId="77777777" w:rsidR="006844B2" w:rsidRPr="001A0B66" w:rsidRDefault="00AE28A3"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lastRenderedPageBreak/>
        <w:t>"</w:t>
      </w:r>
      <w:r w:rsidR="00FA3C16" w:rsidRPr="001A0B66">
        <w:rPr>
          <w:rFonts w:ascii="FrankRuehl" w:hAnsi="FrankRuehl" w:cs="FrankRuehl"/>
          <w:sz w:val="28"/>
          <w:szCs w:val="28"/>
          <w:rtl/>
        </w:rPr>
        <w:t xml:space="preserve">עד היכן מגיעה חובתו של ביהמ"ש לבדוק את החומר? אכן, אין כמעט גבול למידת הבדיקה: יכול השופט לבחון אך את סיכום המידע [שמכין השב"כ ומעביר הפרקליט], ויכול הוא לעיין אף בידיעות הגולמיות [שביסוד הסיכום] (כפי שהוריתי). יכול הוא לדרוש הצגת המידע על ידי מי שמצוי באיסוף וריכוז חומר חסוי דרך כלל, ויכול הוא לדרוש התייצבות מי שטיפל בריכוז המידע </w:t>
      </w:r>
      <w:proofErr w:type="spellStart"/>
      <w:r w:rsidR="00FA3C16" w:rsidRPr="001A0B66">
        <w:rPr>
          <w:rFonts w:ascii="FrankRuehl" w:hAnsi="FrankRuehl" w:cs="FrankRuehl"/>
          <w:sz w:val="28"/>
          <w:szCs w:val="28"/>
          <w:rtl/>
        </w:rPr>
        <w:t>בענייינו</w:t>
      </w:r>
      <w:proofErr w:type="spellEnd"/>
      <w:r w:rsidR="00FA3C16" w:rsidRPr="001A0B66">
        <w:rPr>
          <w:rFonts w:ascii="FrankRuehl" w:hAnsi="FrankRuehl" w:cs="FrankRuehl"/>
          <w:sz w:val="28"/>
          <w:szCs w:val="28"/>
          <w:rtl/>
        </w:rPr>
        <w:t xml:space="preserve"> של אותו עצור העומד בפניו. יכול הוא להסתפק בהצגת המידע, ויכול הוא להעיד את נציג השירות, לאחר שהוזהר כחוק, ולחוקרו ביחס לכל ידיעה וידיעה וביחס לכל מקור ומקור שבתיק. </w:t>
      </w:r>
    </w:p>
    <w:p w14:paraId="594E6000" w14:textId="77777777" w:rsidR="00FA3C16"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FA3C16" w:rsidRPr="001A0B66">
        <w:rPr>
          <w:rFonts w:ascii="FrankRuehl" w:hAnsi="FrankRuehl" w:cs="FrankRuehl"/>
          <w:sz w:val="28"/>
          <w:szCs w:val="28"/>
          <w:rtl/>
        </w:rPr>
        <w:t>...</w:t>
      </w:r>
      <w:r w:rsidRPr="001A0B66">
        <w:rPr>
          <w:rFonts w:ascii="FrankRuehl" w:hAnsi="FrankRuehl" w:cs="FrankRuehl"/>
          <w:sz w:val="28"/>
          <w:szCs w:val="28"/>
          <w:rtl/>
        </w:rPr>
        <w:t>]</w:t>
      </w:r>
    </w:p>
    <w:p w14:paraId="2EC5CCDF" w14:textId="77777777" w:rsidR="00FA3C16" w:rsidRPr="001A0B66" w:rsidRDefault="00FA3C1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אם נבחן היקפה של הביקורת השיפוטית לאורך זמן, לא נתקשה להצביע על שינויים מרחיקי לכת שנעשו בה – שינויים אשר היו פרי נסיבות שהזמן גרמן. עד לפרוץ האירועים האחרונים, לא רק שמלוא החומר החסוי הונח בפני ביהמ"ש, אלא שחומר זה היה מובא על ידי נציג שירות הביטחון הכללי אשר היה מציג את המידע במסגרת הדיון החסוי ואף היה משיב על שאלות ביהמ"ש. </w:t>
      </w:r>
    </w:p>
    <w:p w14:paraId="75515DED" w14:textId="77777777" w:rsidR="00FA3C16" w:rsidRPr="001A0B66" w:rsidRDefault="00FA3C1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כן נזכיר כי עד לא מזמן היה נציג שירות הביטחון הכללי מעמיד עצמו לחקירת הסנגוריה </w:t>
      </w:r>
      <w:r w:rsidRPr="001A0B66">
        <w:rPr>
          <w:rFonts w:ascii="FrankRuehl" w:hAnsi="FrankRuehl" w:cs="FrankRuehl"/>
          <w:sz w:val="28"/>
          <w:szCs w:val="28"/>
        </w:rPr>
        <w:t>–</w:t>
      </w:r>
      <w:r w:rsidRPr="001A0B66">
        <w:rPr>
          <w:rFonts w:ascii="FrankRuehl" w:hAnsi="FrankRuehl" w:cs="FrankRuehl"/>
          <w:sz w:val="28"/>
          <w:szCs w:val="28"/>
          <w:rtl/>
        </w:rPr>
        <w:t xml:space="preserve"> בין אם היה יסוד לפרקטיקה זו ובין אם לאו. </w:t>
      </w:r>
    </w:p>
    <w:p w14:paraId="4D8D41E9" w14:textId="77777777" w:rsidR="006844B2" w:rsidRPr="001A0B66" w:rsidRDefault="00FA3C1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בצוק </w:t>
      </w:r>
      <w:proofErr w:type="spellStart"/>
      <w:r w:rsidRPr="001A0B66">
        <w:rPr>
          <w:rFonts w:ascii="FrankRuehl" w:hAnsi="FrankRuehl" w:cs="FrankRuehl"/>
          <w:sz w:val="28"/>
          <w:szCs w:val="28"/>
          <w:rtl/>
        </w:rPr>
        <w:t>העתים</w:t>
      </w:r>
      <w:proofErr w:type="spellEnd"/>
      <w:r w:rsidRPr="001A0B66">
        <w:rPr>
          <w:rFonts w:ascii="FrankRuehl" w:hAnsi="FrankRuehl" w:cs="FrankRuehl"/>
          <w:sz w:val="28"/>
          <w:szCs w:val="28"/>
          <w:rtl/>
        </w:rPr>
        <w:t xml:space="preserve">, משנעצרו תוך פרק זמן קצר מאות רבות של עצורים מנהליים, משהוברר כי לא ניתן יהיה להמשיך ולנהוג כבעבר וכי עמידה על התייצבות נציגי שירות הביטחון הכללי לדיון תפגע באורח אנוש ביכולתם של קומץ אנשי המקצוע האמונים על החומר החסוי למלא את תפקידם בסיכול פיגועים, החליטו בתי המשפט לסטות מן הפרקטיקה המקובלת. כן הסתפקו בתי המשפט בהצגת סיכום המידע החסוי, מבלי שיהיה צורך להציג אף את הידיעות הגולמיות. </w:t>
      </w:r>
    </w:p>
    <w:p w14:paraId="3F266861" w14:textId="77777777" w:rsidR="006844B2"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p>
    <w:p w14:paraId="3F7F17D2" w14:textId="77777777" w:rsidR="006844B2" w:rsidRPr="001A0B66" w:rsidRDefault="00FA3C1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אם כך, מה נשתנה עתה, ומדוע ראיתי לדרוש אף הצגת הידיעות הגולמיות? ראשית, מקרה זה לימדנו כי ההסתמכות על סיכום המידע הינה בעייתית, ויש בה כדי להביא לשלילת חירותו של אדם ללא בסיס מוצדק. יודגש, כי אין המדובר במקרה חד-פעמי ויוצא דופן, בבחינת הפרט שאינו מלמד על הכלל, אלא שמקרה זה הינו החמור בשורה לא קצרה של מקרים בהם נתגלו פערים ואף סתירות בין סיכום המידע ובין הידיעות הגולמיות. </w:t>
      </w:r>
    </w:p>
    <w:p w14:paraId="09C1B12E" w14:textId="77777777" w:rsidR="006844B2"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p>
    <w:p w14:paraId="66B6D5AD" w14:textId="77777777" w:rsidR="00FA3C16" w:rsidRPr="001A0B66" w:rsidRDefault="00FA3C1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שמעתי במהלך הדיון על הפגיעה האפשרית במלאכתם של אנשי שירות הביטחון הכללי, אך על אלה לדעת כי גם לבתי המשפט משימה </w:t>
      </w:r>
      <w:r w:rsidRPr="001A0B66">
        <w:rPr>
          <w:rFonts w:ascii="FrankRuehl" w:hAnsi="FrankRuehl" w:cs="FrankRuehl"/>
          <w:sz w:val="28"/>
          <w:szCs w:val="28"/>
        </w:rPr>
        <w:t>–</w:t>
      </w:r>
      <w:r w:rsidRPr="001A0B66">
        <w:rPr>
          <w:rFonts w:ascii="FrankRuehl" w:hAnsi="FrankRuehl" w:cs="FrankRuehl"/>
          <w:sz w:val="28"/>
          <w:szCs w:val="28"/>
          <w:rtl/>
        </w:rPr>
        <w:t xml:space="preserve"> זו שהוטלה עליהם על ידי המחוקק. ביקורת שיפוטית אמיתית וראויה, כזו אשר אינה נעשית אך כדי לצאת ידי חובה, מחייבת בדיקה יסודית של החומר החסוי </w:t>
      </w:r>
      <w:r w:rsidRPr="001A0B66">
        <w:rPr>
          <w:rFonts w:ascii="FrankRuehl" w:hAnsi="FrankRuehl" w:cs="FrankRuehl"/>
          <w:sz w:val="28"/>
          <w:szCs w:val="28"/>
        </w:rPr>
        <w:t>–</w:t>
      </w:r>
      <w:r w:rsidRPr="001A0B66">
        <w:rPr>
          <w:rFonts w:ascii="FrankRuehl" w:hAnsi="FrankRuehl" w:cs="FrankRuehl"/>
          <w:sz w:val="28"/>
          <w:szCs w:val="28"/>
          <w:rtl/>
        </w:rPr>
        <w:t xml:space="preserve"> וכזאת לא נוכל לעשות ללא היזקקות לידיעות הגולמיות.</w:t>
      </w:r>
      <w:r w:rsidR="00AE28A3" w:rsidRPr="001A0B66">
        <w:rPr>
          <w:rFonts w:ascii="FrankRuehl" w:hAnsi="FrankRuehl" w:cs="FrankRuehl"/>
          <w:sz w:val="28"/>
          <w:szCs w:val="28"/>
          <w:rtl/>
        </w:rPr>
        <w:t>"</w:t>
      </w:r>
    </w:p>
    <w:p w14:paraId="0F302EE2" w14:textId="77777777" w:rsidR="0099028B" w:rsidRPr="001A0B66" w:rsidRDefault="00FA3C16"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lastRenderedPageBreak/>
        <w:t xml:space="preserve">לשון אחר, בתי המשפט, </w:t>
      </w:r>
      <w:r w:rsidR="007503BA" w:rsidRPr="001A0B66">
        <w:rPr>
          <w:rFonts w:ascii="FrankRuehl" w:hAnsi="FrankRuehl" w:cs="FrankRuehl"/>
          <w:sz w:val="28"/>
          <w:szCs w:val="28"/>
          <w:rtl/>
        </w:rPr>
        <w:t>ובכללם</w:t>
      </w:r>
      <w:r w:rsidRPr="001A0B66">
        <w:rPr>
          <w:rFonts w:ascii="FrankRuehl" w:hAnsi="FrankRuehl" w:cs="FrankRuehl"/>
          <w:sz w:val="28"/>
          <w:szCs w:val="28"/>
          <w:rtl/>
        </w:rPr>
        <w:t xml:space="preserve"> בתי המשפט הצבאיים בשטחים, </w:t>
      </w:r>
      <w:r w:rsidR="007503BA" w:rsidRPr="001A0B66">
        <w:rPr>
          <w:rFonts w:ascii="FrankRuehl" w:hAnsi="FrankRuehl" w:cs="FrankRuehl"/>
          <w:sz w:val="28"/>
          <w:szCs w:val="28"/>
          <w:rtl/>
        </w:rPr>
        <w:t>מסתפקים</w:t>
      </w:r>
      <w:r w:rsidR="00A778BD" w:rsidRPr="001A0B66">
        <w:rPr>
          <w:rFonts w:ascii="FrankRuehl" w:hAnsi="FrankRuehl" w:cs="FrankRuehl"/>
          <w:sz w:val="28"/>
          <w:szCs w:val="28"/>
          <w:rtl/>
        </w:rPr>
        <w:t xml:space="preserve"> </w:t>
      </w:r>
      <w:r w:rsidRPr="001A0B66">
        <w:rPr>
          <w:rFonts w:ascii="FrankRuehl" w:hAnsi="FrankRuehl" w:cs="FrankRuehl"/>
          <w:sz w:val="28"/>
          <w:szCs w:val="28"/>
          <w:rtl/>
        </w:rPr>
        <w:t xml:space="preserve">ב"סיכום דברים" של השב"כ </w:t>
      </w:r>
      <w:r w:rsidR="00CA25E8" w:rsidRPr="001A0B66">
        <w:rPr>
          <w:rFonts w:ascii="FrankRuehl" w:hAnsi="FrankRuehl" w:cs="FrankRuehl"/>
          <w:sz w:val="28"/>
          <w:szCs w:val="28"/>
          <w:rtl/>
        </w:rPr>
        <w:t>אשר מסכם ואף מפרש עבורם את המידע המודיעיני</w:t>
      </w:r>
      <w:r w:rsidR="007B0F05" w:rsidRPr="001A0B66">
        <w:rPr>
          <w:rFonts w:ascii="FrankRuehl" w:hAnsi="FrankRuehl" w:cs="FrankRuehl"/>
          <w:sz w:val="28"/>
          <w:szCs w:val="28"/>
          <w:rtl/>
        </w:rPr>
        <w:t xml:space="preserve">, </w:t>
      </w:r>
      <w:r w:rsidR="009E6009" w:rsidRPr="001A0B66">
        <w:rPr>
          <w:rFonts w:ascii="FrankRuehl" w:hAnsi="FrankRuehl" w:cs="FrankRuehl"/>
          <w:sz w:val="28"/>
          <w:szCs w:val="28"/>
          <w:rtl/>
        </w:rPr>
        <w:t>ואינם</w:t>
      </w:r>
      <w:r w:rsidRPr="001A0B66">
        <w:rPr>
          <w:rFonts w:ascii="FrankRuehl" w:hAnsi="FrankRuehl" w:cs="FrankRuehl"/>
          <w:sz w:val="28"/>
          <w:szCs w:val="28"/>
          <w:rtl/>
        </w:rPr>
        <w:t xml:space="preserve"> מקבלים לעיונם את חומרי הגלם המודיעיניים – ואת זה ביקש נשיא בית המשפט הצבאי לערעורים</w:t>
      </w:r>
      <w:r w:rsidR="009E6009" w:rsidRPr="001A0B66">
        <w:rPr>
          <w:rFonts w:ascii="FrankRuehl" w:hAnsi="FrankRuehl" w:cs="FrankRuehl"/>
          <w:sz w:val="28"/>
          <w:szCs w:val="28"/>
          <w:rtl/>
        </w:rPr>
        <w:t xml:space="preserve"> לשנות</w:t>
      </w:r>
      <w:r w:rsidR="00A12452" w:rsidRPr="001A0B66">
        <w:rPr>
          <w:rFonts w:ascii="FrankRuehl" w:hAnsi="FrankRuehl" w:cs="FrankRuehl"/>
          <w:sz w:val="28"/>
          <w:szCs w:val="28"/>
          <w:rtl/>
        </w:rPr>
        <w:t xml:space="preserve">. </w:t>
      </w:r>
      <w:r w:rsidRPr="001A0B66">
        <w:rPr>
          <w:rFonts w:ascii="FrankRuehl" w:hAnsi="FrankRuehl" w:cs="FrankRuehl"/>
          <w:sz w:val="28"/>
          <w:szCs w:val="28"/>
          <w:rtl/>
        </w:rPr>
        <w:t>כמו כן</w:t>
      </w:r>
      <w:r w:rsidR="00A12452" w:rsidRPr="001A0B66">
        <w:rPr>
          <w:rFonts w:ascii="FrankRuehl" w:hAnsi="FrankRuehl" w:cs="FrankRuehl"/>
          <w:sz w:val="28"/>
          <w:szCs w:val="28"/>
          <w:rtl/>
        </w:rPr>
        <w:t>,</w:t>
      </w:r>
      <w:r w:rsidRPr="001A0B66">
        <w:rPr>
          <w:rFonts w:ascii="FrankRuehl" w:hAnsi="FrankRuehl" w:cs="FrankRuehl"/>
          <w:sz w:val="28"/>
          <w:szCs w:val="28"/>
          <w:rtl/>
        </w:rPr>
        <w:t xml:space="preserve"> חוקרי השב"כ </w:t>
      </w:r>
      <w:r w:rsidR="00DD4094">
        <w:rPr>
          <w:rFonts w:ascii="FrankRuehl" w:hAnsi="FrankRuehl" w:cs="FrankRuehl"/>
          <w:sz w:val="28"/>
          <w:szCs w:val="28"/>
          <w:rtl/>
        </w:rPr>
        <w:t xml:space="preserve">לא </w:t>
      </w:r>
      <w:r w:rsidR="009E6009" w:rsidRPr="001A0B66">
        <w:rPr>
          <w:rFonts w:ascii="FrankRuehl" w:hAnsi="FrankRuehl" w:cs="FrankRuehl"/>
          <w:sz w:val="28"/>
          <w:szCs w:val="28"/>
          <w:rtl/>
        </w:rPr>
        <w:t xml:space="preserve">נחקרים </w:t>
      </w:r>
      <w:r w:rsidRPr="001A0B66">
        <w:rPr>
          <w:rFonts w:ascii="FrankRuehl" w:hAnsi="FrankRuehl" w:cs="FrankRuehl"/>
          <w:sz w:val="28"/>
          <w:szCs w:val="28"/>
          <w:rtl/>
        </w:rPr>
        <w:t xml:space="preserve">על החומר שאותו אספו </w:t>
      </w:r>
      <w:r w:rsidR="00DD4094">
        <w:rPr>
          <w:rFonts w:ascii="FrankRuehl" w:hAnsi="FrankRuehl" w:cs="FrankRuehl"/>
          <w:sz w:val="28"/>
          <w:szCs w:val="28"/>
          <w:rtl/>
        </w:rPr>
        <w:t>ו</w:t>
      </w:r>
      <w:r w:rsidR="003E1189">
        <w:rPr>
          <w:rFonts w:ascii="FrankRuehl" w:hAnsi="FrankRuehl" w:cs="FrankRuehl"/>
          <w:sz w:val="28"/>
          <w:szCs w:val="28"/>
          <w:rtl/>
        </w:rPr>
        <w:t xml:space="preserve">על </w:t>
      </w:r>
      <w:r w:rsidR="00DD4094">
        <w:rPr>
          <w:rFonts w:ascii="FrankRuehl" w:hAnsi="FrankRuehl" w:cs="FrankRuehl"/>
          <w:sz w:val="28"/>
          <w:szCs w:val="28"/>
          <w:rtl/>
        </w:rPr>
        <w:t>נית</w:t>
      </w:r>
      <w:r w:rsidR="003E1189">
        <w:rPr>
          <w:rFonts w:ascii="FrankRuehl" w:hAnsi="FrankRuehl" w:cs="FrankRuehl"/>
          <w:sz w:val="28"/>
          <w:szCs w:val="28"/>
          <w:rtl/>
        </w:rPr>
        <w:t>ו</w:t>
      </w:r>
      <w:r w:rsidR="00DD4094">
        <w:rPr>
          <w:rFonts w:ascii="FrankRuehl" w:hAnsi="FrankRuehl" w:cs="FrankRuehl"/>
          <w:sz w:val="28"/>
          <w:szCs w:val="28"/>
          <w:rtl/>
        </w:rPr>
        <w:t xml:space="preserve">חו אלא </w:t>
      </w:r>
      <w:r w:rsidR="009E6009" w:rsidRPr="001A0B66">
        <w:rPr>
          <w:rFonts w:ascii="FrankRuehl" w:hAnsi="FrankRuehl" w:cs="FrankRuehl"/>
          <w:sz w:val="28"/>
          <w:szCs w:val="28"/>
          <w:rtl/>
        </w:rPr>
        <w:t>לעיתים נדירות מאוד</w:t>
      </w:r>
      <w:r w:rsidRPr="001A0B66">
        <w:rPr>
          <w:rFonts w:ascii="FrankRuehl" w:hAnsi="FrankRuehl" w:cs="FrankRuehl"/>
          <w:sz w:val="28"/>
          <w:szCs w:val="28"/>
          <w:rtl/>
        </w:rPr>
        <w:t>.</w:t>
      </w:r>
      <w:r w:rsidRPr="001A0B66">
        <w:rPr>
          <w:rFonts w:ascii="FrankRuehl" w:hAnsi="FrankRuehl" w:cs="FrankRuehl"/>
          <w:sz w:val="28"/>
          <w:szCs w:val="28"/>
          <w:vertAlign w:val="superscript"/>
          <w:rtl/>
        </w:rPr>
        <w:footnoteReference w:id="28"/>
      </w:r>
      <w:r w:rsidRPr="001A0B66">
        <w:rPr>
          <w:rFonts w:ascii="FrankRuehl" w:hAnsi="FrankRuehl" w:cs="FrankRuehl"/>
          <w:sz w:val="28"/>
          <w:szCs w:val="28"/>
          <w:rtl/>
        </w:rPr>
        <w:t xml:space="preserve"> </w:t>
      </w:r>
    </w:p>
    <w:p w14:paraId="46835032" w14:textId="77777777" w:rsidR="00F00230" w:rsidRPr="001A0B66" w:rsidRDefault="00683781" w:rsidP="00F307FB">
      <w:pPr>
        <w:pStyle w:val="a1"/>
        <w:spacing w:line="276" w:lineRule="auto"/>
        <w:ind w:firstLine="720"/>
        <w:rPr>
          <w:rFonts w:ascii="FrankRuehl" w:hAnsi="FrankRuehl" w:cs="FrankRuehl"/>
          <w:sz w:val="28"/>
          <w:szCs w:val="28"/>
          <w:rtl/>
        </w:rPr>
      </w:pPr>
      <w:r w:rsidRPr="001A0B66">
        <w:rPr>
          <w:rFonts w:ascii="FrankRuehl" w:hAnsi="FrankRuehl" w:cs="FrankRuehl"/>
          <w:sz w:val="28"/>
          <w:szCs w:val="28"/>
          <w:rtl/>
        </w:rPr>
        <w:t xml:space="preserve">יתר על כן, </w:t>
      </w:r>
      <w:r w:rsidR="00E43698" w:rsidRPr="001A0B66">
        <w:rPr>
          <w:rFonts w:ascii="FrankRuehl" w:hAnsi="FrankRuehl" w:cs="FrankRuehl"/>
          <w:sz w:val="28"/>
          <w:szCs w:val="28"/>
          <w:rtl/>
        </w:rPr>
        <w:t xml:space="preserve">"גדר האפשר" הוא רחב מזה המוצג לעיל על ידי השופט גורדון. </w:t>
      </w:r>
      <w:r w:rsidR="00850BE7">
        <w:rPr>
          <w:rFonts w:ascii="FrankRuehl" w:hAnsi="FrankRuehl" w:cs="FrankRuehl"/>
          <w:sz w:val="28"/>
          <w:szCs w:val="28"/>
          <w:rtl/>
        </w:rPr>
        <w:t xml:space="preserve">כך למשל, </w:t>
      </w:r>
      <w:r w:rsidRPr="001A0B66">
        <w:rPr>
          <w:rFonts w:ascii="FrankRuehl" w:hAnsi="FrankRuehl" w:cs="FrankRuehl"/>
          <w:sz w:val="28"/>
          <w:szCs w:val="28"/>
          <w:rtl/>
        </w:rPr>
        <w:t xml:space="preserve">טענה לפיה על השופטים לחקור </w:t>
      </w:r>
      <w:r w:rsidR="009547DE" w:rsidRPr="001A0B66">
        <w:rPr>
          <w:rFonts w:ascii="FrankRuehl" w:hAnsi="FrankRuehl" w:cs="FrankRuehl"/>
          <w:sz w:val="28"/>
          <w:szCs w:val="28"/>
          <w:rtl/>
        </w:rPr>
        <w:t>ב</w:t>
      </w:r>
      <w:r w:rsidR="0099028B" w:rsidRPr="001A0B66">
        <w:rPr>
          <w:rFonts w:ascii="FrankRuehl" w:hAnsi="FrankRuehl" w:cs="FrankRuehl"/>
          <w:sz w:val="28"/>
          <w:szCs w:val="28"/>
          <w:rtl/>
        </w:rPr>
        <w:t xml:space="preserve">עצמם </w:t>
      </w:r>
      <w:r w:rsidRPr="001A0B66">
        <w:rPr>
          <w:rFonts w:ascii="FrankRuehl" w:hAnsi="FrankRuehl" w:cs="FrankRuehl"/>
          <w:sz w:val="28"/>
          <w:szCs w:val="28"/>
          <w:rtl/>
        </w:rPr>
        <w:t>את מקורות המידע האנושיים</w:t>
      </w:r>
      <w:r w:rsidR="00F00230" w:rsidRPr="001A0B66">
        <w:rPr>
          <w:rFonts w:ascii="FrankRuehl" w:hAnsi="FrankRuehl" w:cs="FrankRuehl"/>
          <w:sz w:val="28"/>
          <w:szCs w:val="28"/>
          <w:rtl/>
        </w:rPr>
        <w:t xml:space="preserve"> (ולא רק את החוקרים)</w:t>
      </w:r>
      <w:r w:rsidR="0099028B" w:rsidRPr="001A0B66">
        <w:rPr>
          <w:rFonts w:ascii="FrankRuehl" w:hAnsi="FrankRuehl" w:cs="FrankRuehl"/>
          <w:sz w:val="28"/>
          <w:szCs w:val="28"/>
          <w:rtl/>
        </w:rPr>
        <w:t>, זאת</w:t>
      </w:r>
      <w:r w:rsidRPr="001A0B66">
        <w:rPr>
          <w:rFonts w:ascii="FrankRuehl" w:hAnsi="FrankRuehl" w:cs="FrankRuehl"/>
          <w:sz w:val="28"/>
          <w:szCs w:val="28"/>
          <w:rtl/>
        </w:rPr>
        <w:t xml:space="preserve"> במעמד צד אחד</w:t>
      </w:r>
      <w:r w:rsidR="0099028B" w:rsidRPr="001A0B66">
        <w:rPr>
          <w:rFonts w:ascii="FrankRuehl" w:hAnsi="FrankRuehl" w:cs="FrankRuehl"/>
          <w:sz w:val="28"/>
          <w:szCs w:val="28"/>
          <w:rtl/>
        </w:rPr>
        <w:t xml:space="preserve"> לא נדחתה על הסף, ברמה העקרונית</w:t>
      </w:r>
      <w:r w:rsidR="00850BE7">
        <w:rPr>
          <w:rFonts w:ascii="FrankRuehl" w:hAnsi="FrankRuehl" w:cs="FrankRuehl"/>
          <w:sz w:val="28"/>
          <w:szCs w:val="28"/>
          <w:rtl/>
        </w:rPr>
        <w:t>;</w:t>
      </w:r>
      <w:r w:rsidR="0099028B" w:rsidRPr="001A0B66">
        <w:rPr>
          <w:rFonts w:ascii="FrankRuehl" w:hAnsi="FrankRuehl" w:cs="FrankRuehl"/>
          <w:sz w:val="28"/>
          <w:szCs w:val="28"/>
          <w:rtl/>
        </w:rPr>
        <w:t xml:space="preserve"> אך בית המשפט העליון</w:t>
      </w:r>
      <w:r w:rsidR="00611709" w:rsidRPr="001A0B66">
        <w:rPr>
          <w:rFonts w:ascii="FrankRuehl" w:hAnsi="FrankRuehl" w:cs="FrankRuehl"/>
          <w:sz w:val="28"/>
          <w:szCs w:val="28"/>
          <w:rtl/>
        </w:rPr>
        <w:t>, מפי השופט אור,</w:t>
      </w:r>
      <w:r w:rsidR="0099028B" w:rsidRPr="001A0B66">
        <w:rPr>
          <w:rFonts w:ascii="FrankRuehl" w:hAnsi="FrankRuehl" w:cs="FrankRuehl"/>
          <w:sz w:val="28"/>
          <w:szCs w:val="28"/>
          <w:rtl/>
        </w:rPr>
        <w:t xml:space="preserve"> הדגיש את חריגותה</w:t>
      </w:r>
      <w:r w:rsidR="00850BE7">
        <w:rPr>
          <w:rFonts w:ascii="FrankRuehl" w:hAnsi="FrankRuehl" w:cs="FrankRuehl"/>
          <w:sz w:val="28"/>
          <w:szCs w:val="28"/>
          <w:rtl/>
        </w:rPr>
        <w:t xml:space="preserve"> ואולי סתם עליה בכך את הגולל</w:t>
      </w:r>
      <w:r w:rsidR="0099028B" w:rsidRPr="001A0B66">
        <w:rPr>
          <w:rFonts w:ascii="FrankRuehl" w:hAnsi="FrankRuehl" w:cs="FrankRuehl"/>
          <w:sz w:val="28"/>
          <w:szCs w:val="28"/>
          <w:rtl/>
        </w:rPr>
        <w:t xml:space="preserve">: </w:t>
      </w:r>
    </w:p>
    <w:p w14:paraId="36A85B91" w14:textId="77777777" w:rsidR="00F00230" w:rsidRPr="001A0B66" w:rsidRDefault="0099028B" w:rsidP="00F307FB">
      <w:pPr>
        <w:pStyle w:val="a1"/>
        <w:spacing w:line="276" w:lineRule="auto"/>
        <w:ind w:left="720" w:right="709"/>
        <w:rPr>
          <w:rFonts w:ascii="FrankRuehl" w:hAnsi="FrankRuehl" w:cs="FrankRuehl"/>
          <w:sz w:val="28"/>
          <w:szCs w:val="28"/>
          <w:rtl/>
        </w:rPr>
      </w:pPr>
      <w:r w:rsidRPr="001A0B66">
        <w:rPr>
          <w:rFonts w:ascii="FrankRuehl" w:hAnsi="FrankRuehl" w:cs="FrankRuehl"/>
          <w:sz w:val="28"/>
          <w:szCs w:val="28"/>
          <w:rtl/>
        </w:rPr>
        <w:t>"</w:t>
      </w:r>
      <w:r w:rsidR="00611709" w:rsidRPr="001A0B66">
        <w:rPr>
          <w:rFonts w:ascii="FrankRuehl" w:hAnsi="FrankRuehl" w:cs="FrankRuehl"/>
          <w:sz w:val="28"/>
          <w:szCs w:val="28"/>
          <w:rtl/>
        </w:rPr>
        <w:t xml:space="preserve">[השאלה] אם יש לקיים במסגרת הביקורת השיפוטית חקירה של המקורות המודיעיניים, אשר המידע שמסרו עומד ביסוד ההחלטה על המעצר </w:t>
      </w:r>
      <w:proofErr w:type="spellStart"/>
      <w:r w:rsidR="00611709" w:rsidRPr="001A0B66">
        <w:rPr>
          <w:rFonts w:ascii="FrankRuehl" w:hAnsi="FrankRuehl" w:cs="FrankRuehl"/>
          <w:sz w:val="28"/>
          <w:szCs w:val="28"/>
          <w:rtl/>
        </w:rPr>
        <w:t>המינהלי</w:t>
      </w:r>
      <w:proofErr w:type="spellEnd"/>
      <w:r w:rsidR="00611709" w:rsidRPr="001A0B66">
        <w:rPr>
          <w:rFonts w:ascii="FrankRuehl" w:hAnsi="FrankRuehl" w:cs="FrankRuehl"/>
          <w:sz w:val="28"/>
          <w:szCs w:val="28"/>
          <w:rtl/>
        </w:rPr>
        <w:t xml:space="preserve">. </w:t>
      </w:r>
      <w:r w:rsidRPr="001A0B66">
        <w:rPr>
          <w:rFonts w:ascii="FrankRuehl" w:hAnsi="FrankRuehl" w:cs="FrankRuehl"/>
          <w:sz w:val="28"/>
          <w:szCs w:val="28"/>
          <w:rtl/>
        </w:rPr>
        <w:t xml:space="preserve">ככל הידוע לי, אין תקדים לקיומו של הליך כזה במסגרת הביקורת השיפוטית על מעצר </w:t>
      </w:r>
      <w:proofErr w:type="spellStart"/>
      <w:r w:rsidRPr="001A0B66">
        <w:rPr>
          <w:rFonts w:ascii="FrankRuehl" w:hAnsi="FrankRuehl" w:cs="FrankRuehl"/>
          <w:sz w:val="28"/>
          <w:szCs w:val="28"/>
          <w:rtl/>
        </w:rPr>
        <w:t>מינהלי</w:t>
      </w:r>
      <w:proofErr w:type="spellEnd"/>
      <w:r w:rsidRPr="001A0B66">
        <w:rPr>
          <w:rFonts w:ascii="FrankRuehl" w:hAnsi="FrankRuehl" w:cs="FrankRuehl"/>
          <w:sz w:val="28"/>
          <w:szCs w:val="28"/>
          <w:rtl/>
        </w:rPr>
        <w:t xml:space="preserve">. בלי להכריע בשאלה כבדת המשקל אם ומתי ניתן לקיים הליך כזה, נראה לי, כי גם אם ניתן לקיים חקירות כאמור, ברור הוא כי הדבר לא ייעשה כעניין </w:t>
      </w:r>
      <w:proofErr w:type="spellStart"/>
      <w:r w:rsidRPr="001A0B66">
        <w:rPr>
          <w:rFonts w:ascii="FrankRuehl" w:hAnsi="FrankRuehl" w:cs="FrankRuehl"/>
          <w:sz w:val="28"/>
          <w:szCs w:val="28"/>
          <w:rtl/>
        </w:rPr>
        <w:t>שבשיגרה</w:t>
      </w:r>
      <w:proofErr w:type="spellEnd"/>
      <w:r w:rsidRPr="001A0B66">
        <w:rPr>
          <w:rFonts w:ascii="FrankRuehl" w:hAnsi="FrankRuehl" w:cs="FrankRuehl"/>
          <w:sz w:val="28"/>
          <w:szCs w:val="28"/>
          <w:rtl/>
        </w:rPr>
        <w:t>, כי אם רק במקרים חריגים שייקבעו על-פי שיקול-דעתו של השופט המשפטאי, בהתאם לאיזון בין צורכי הביטחון החיוניים... לבין זכויות היסוד לחירות ולהליך ראוי</w:t>
      </w:r>
      <w:r w:rsidR="00611709" w:rsidRPr="001A0B66">
        <w:rPr>
          <w:rFonts w:ascii="FrankRuehl" w:hAnsi="FrankRuehl" w:cs="FrankRuehl"/>
          <w:sz w:val="28"/>
          <w:szCs w:val="28"/>
          <w:rtl/>
        </w:rPr>
        <w:t>"</w:t>
      </w:r>
      <w:r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29"/>
      </w:r>
      <w:r w:rsidR="00E47D3D" w:rsidRPr="001A0B66">
        <w:rPr>
          <w:rFonts w:ascii="FrankRuehl" w:hAnsi="FrankRuehl" w:cs="FrankRuehl"/>
          <w:sz w:val="28"/>
          <w:szCs w:val="28"/>
          <w:rtl/>
        </w:rPr>
        <w:t xml:space="preserve"> </w:t>
      </w:r>
    </w:p>
    <w:p w14:paraId="73CD9580" w14:textId="77777777" w:rsidR="00683781" w:rsidRPr="001A0B66" w:rsidRDefault="00E43698"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למיטב ידיעתנו </w:t>
      </w:r>
      <w:r w:rsidR="00E47D3D" w:rsidRPr="001A0B66">
        <w:rPr>
          <w:rFonts w:ascii="FrankRuehl" w:hAnsi="FrankRuehl" w:cs="FrankRuehl"/>
          <w:sz w:val="28"/>
          <w:szCs w:val="28"/>
          <w:rtl/>
        </w:rPr>
        <w:t>גם ב</w:t>
      </w:r>
      <w:r w:rsidR="00611709" w:rsidRPr="001A0B66">
        <w:rPr>
          <w:rFonts w:ascii="FrankRuehl" w:hAnsi="FrankRuehl" w:cs="FrankRuehl"/>
          <w:sz w:val="28"/>
          <w:szCs w:val="28"/>
          <w:rtl/>
        </w:rPr>
        <w:t>תקופ</w:t>
      </w:r>
      <w:r w:rsidRPr="001A0B66">
        <w:rPr>
          <w:rFonts w:ascii="FrankRuehl" w:hAnsi="FrankRuehl" w:cs="FrankRuehl"/>
          <w:sz w:val="28"/>
          <w:szCs w:val="28"/>
          <w:rtl/>
        </w:rPr>
        <w:t xml:space="preserve">ה הארוכה שחלפה </w:t>
      </w:r>
      <w:r w:rsidR="00611709" w:rsidRPr="001A0B66">
        <w:rPr>
          <w:rFonts w:ascii="FrankRuehl" w:hAnsi="FrankRuehl" w:cs="FrankRuehl"/>
          <w:sz w:val="28"/>
          <w:szCs w:val="28"/>
          <w:rtl/>
        </w:rPr>
        <w:t xml:space="preserve">מאז אותה </w:t>
      </w:r>
      <w:r w:rsidRPr="001A0B66">
        <w:rPr>
          <w:rFonts w:ascii="FrankRuehl" w:hAnsi="FrankRuehl" w:cs="FrankRuehl"/>
          <w:sz w:val="28"/>
          <w:szCs w:val="28"/>
          <w:rtl/>
        </w:rPr>
        <w:t xml:space="preserve">החלטה ביחס </w:t>
      </w:r>
      <w:r w:rsidR="00611709" w:rsidRPr="001A0B66">
        <w:rPr>
          <w:rFonts w:ascii="FrankRuehl" w:hAnsi="FrankRuehl" w:cs="FrankRuehl"/>
          <w:sz w:val="28"/>
          <w:szCs w:val="28"/>
          <w:rtl/>
        </w:rPr>
        <w:t xml:space="preserve">לחקירה </w:t>
      </w:r>
      <w:r w:rsidR="00667986" w:rsidRPr="001A0B66">
        <w:rPr>
          <w:rFonts w:ascii="FrankRuehl" w:hAnsi="FrankRuehl" w:cs="FrankRuehl"/>
          <w:sz w:val="28"/>
          <w:szCs w:val="28"/>
          <w:rtl/>
        </w:rPr>
        <w:t xml:space="preserve">אפשרית </w:t>
      </w:r>
      <w:r w:rsidR="00611709" w:rsidRPr="001A0B66">
        <w:rPr>
          <w:rFonts w:ascii="FrankRuehl" w:hAnsi="FrankRuehl" w:cs="FrankRuehl"/>
          <w:sz w:val="28"/>
          <w:szCs w:val="28"/>
          <w:rtl/>
        </w:rPr>
        <w:t>על ידי בית המשפט של המקורות המודיעיניים</w:t>
      </w:r>
      <w:r w:rsidR="00F00230" w:rsidRPr="001A0B66">
        <w:rPr>
          <w:rFonts w:ascii="FrankRuehl" w:hAnsi="FrankRuehl" w:cs="FrankRuehl"/>
          <w:sz w:val="28"/>
          <w:szCs w:val="28"/>
          <w:rtl/>
        </w:rPr>
        <w:t xml:space="preserve">, לא </w:t>
      </w:r>
      <w:r w:rsidR="00667986" w:rsidRPr="001A0B66">
        <w:rPr>
          <w:rFonts w:ascii="FrankRuehl" w:hAnsi="FrankRuehl" w:cs="FrankRuehl"/>
          <w:sz w:val="28"/>
          <w:szCs w:val="28"/>
          <w:rtl/>
        </w:rPr>
        <w:t xml:space="preserve">יצר בית המשפט </w:t>
      </w:r>
      <w:r w:rsidR="00F00230" w:rsidRPr="001A0B66">
        <w:rPr>
          <w:rFonts w:ascii="FrankRuehl" w:hAnsi="FrankRuehl" w:cs="FrankRuehl"/>
          <w:sz w:val="28"/>
          <w:szCs w:val="28"/>
          <w:rtl/>
        </w:rPr>
        <w:t>תקדים שכזה</w:t>
      </w:r>
      <w:r w:rsidR="00611709" w:rsidRPr="001A0B66">
        <w:rPr>
          <w:rFonts w:ascii="FrankRuehl" w:hAnsi="FrankRuehl" w:cs="FrankRuehl"/>
          <w:sz w:val="28"/>
          <w:szCs w:val="28"/>
          <w:rtl/>
        </w:rPr>
        <w:t>.</w:t>
      </w:r>
      <w:r w:rsidR="008871DD" w:rsidRPr="001A0B66">
        <w:rPr>
          <w:rFonts w:ascii="FrankRuehl" w:hAnsi="FrankRuehl" w:cs="FrankRuehl"/>
          <w:sz w:val="28"/>
          <w:szCs w:val="28"/>
          <w:rtl/>
        </w:rPr>
        <w:t xml:space="preserve"> </w:t>
      </w:r>
    </w:p>
    <w:p w14:paraId="30ED48CF" w14:textId="77777777" w:rsidR="00FA3C16" w:rsidRPr="001A0B66" w:rsidRDefault="003C63AE" w:rsidP="00F307FB">
      <w:pPr>
        <w:pStyle w:val="a1"/>
        <w:spacing w:line="276" w:lineRule="auto"/>
        <w:ind w:firstLine="720"/>
        <w:rPr>
          <w:rFonts w:ascii="FrankRuehl" w:hAnsi="FrankRuehl" w:cs="FrankRuehl"/>
          <w:sz w:val="28"/>
          <w:szCs w:val="28"/>
          <w:rtl/>
        </w:rPr>
      </w:pPr>
      <w:r w:rsidRPr="001A0B66">
        <w:rPr>
          <w:rFonts w:ascii="FrankRuehl" w:hAnsi="FrankRuehl" w:cs="FrankRuehl"/>
          <w:sz w:val="28"/>
          <w:szCs w:val="28"/>
          <w:rtl/>
        </w:rPr>
        <w:t>ה</w:t>
      </w:r>
      <w:r w:rsidR="00D51715" w:rsidRPr="001A0B66">
        <w:rPr>
          <w:rFonts w:ascii="FrankRuehl" w:hAnsi="FrankRuehl" w:cs="FrankRuehl"/>
          <w:sz w:val="28"/>
          <w:szCs w:val="28"/>
          <w:rtl/>
        </w:rPr>
        <w:t>שינוי</w:t>
      </w:r>
      <w:r w:rsidR="00F00230" w:rsidRPr="001A0B66">
        <w:rPr>
          <w:rFonts w:ascii="FrankRuehl" w:hAnsi="FrankRuehl" w:cs="FrankRuehl"/>
          <w:sz w:val="28"/>
          <w:szCs w:val="28"/>
          <w:rtl/>
        </w:rPr>
        <w:t>ים</w:t>
      </w:r>
      <w:r w:rsidR="00D51715" w:rsidRPr="001A0B66">
        <w:rPr>
          <w:rFonts w:ascii="FrankRuehl" w:hAnsi="FrankRuehl" w:cs="FrankRuehl"/>
          <w:sz w:val="28"/>
          <w:szCs w:val="28"/>
          <w:rtl/>
        </w:rPr>
        <w:t xml:space="preserve"> </w:t>
      </w:r>
      <w:r w:rsidRPr="001A0B66">
        <w:rPr>
          <w:rFonts w:ascii="FrankRuehl" w:hAnsi="FrankRuehl" w:cs="FrankRuehl"/>
          <w:sz w:val="28"/>
          <w:szCs w:val="28"/>
          <w:rtl/>
        </w:rPr>
        <w:t xml:space="preserve">בהתנהלות הפרקליטות הצבאית, </w:t>
      </w:r>
      <w:r w:rsidR="00F00230" w:rsidRPr="001A0B66">
        <w:rPr>
          <w:rFonts w:ascii="FrankRuehl" w:hAnsi="FrankRuehl" w:cs="FrankRuehl"/>
          <w:sz w:val="28"/>
          <w:szCs w:val="28"/>
          <w:rtl/>
        </w:rPr>
        <w:t>שהוזכרו על ידי השופט גורדון, וכן השינוי שהוזכר על ידי השופט שהם</w:t>
      </w:r>
      <w:r w:rsidRPr="001A0B66">
        <w:rPr>
          <w:rFonts w:ascii="FrankRuehl" w:hAnsi="FrankRuehl" w:cs="FrankRuehl"/>
          <w:sz w:val="28"/>
          <w:szCs w:val="28"/>
          <w:rtl/>
        </w:rPr>
        <w:t xml:space="preserve">, לפיו מופיע הפרקליט מטעם המדינה ללא שמצטרף אליו נציג השב"כ, </w:t>
      </w:r>
      <w:r w:rsidR="00667986" w:rsidRPr="001A0B66">
        <w:rPr>
          <w:rFonts w:ascii="FrankRuehl" w:hAnsi="FrankRuehl" w:cs="FrankRuehl"/>
          <w:sz w:val="28"/>
          <w:szCs w:val="28"/>
          <w:rtl/>
        </w:rPr>
        <w:t>תורצו בזמנם</w:t>
      </w:r>
      <w:r w:rsidRPr="001A0B66">
        <w:rPr>
          <w:rFonts w:ascii="FrankRuehl" w:hAnsi="FrankRuehl" w:cs="FrankRuehl"/>
          <w:sz w:val="28"/>
          <w:szCs w:val="28"/>
          <w:rtl/>
        </w:rPr>
        <w:t xml:space="preserve"> בעומסים על השב"כ בתקופה הסוערת של פיגועי ההתאבדות </w:t>
      </w:r>
      <w:r w:rsidR="00E87689" w:rsidRPr="001A0B66">
        <w:rPr>
          <w:rFonts w:ascii="FrankRuehl" w:hAnsi="FrankRuehl" w:cs="FrankRuehl"/>
          <w:sz w:val="28"/>
          <w:szCs w:val="28"/>
          <w:rtl/>
        </w:rPr>
        <w:t>ב</w:t>
      </w:r>
      <w:r w:rsidRPr="001A0B66">
        <w:rPr>
          <w:rFonts w:ascii="FrankRuehl" w:hAnsi="FrankRuehl" w:cs="FrankRuehl"/>
          <w:sz w:val="28"/>
          <w:szCs w:val="28"/>
          <w:rtl/>
        </w:rPr>
        <w:t xml:space="preserve">שנת 2002. </w:t>
      </w:r>
      <w:r w:rsidR="00F00230" w:rsidRPr="001A0B66">
        <w:rPr>
          <w:rFonts w:ascii="FrankRuehl" w:hAnsi="FrankRuehl" w:cs="FrankRuehl"/>
          <w:sz w:val="28"/>
          <w:szCs w:val="28"/>
          <w:rtl/>
        </w:rPr>
        <w:t xml:space="preserve">והנה </w:t>
      </w:r>
      <w:r w:rsidR="00B62D49">
        <w:rPr>
          <w:rFonts w:ascii="FrankRuehl" w:hAnsi="FrankRuehl" w:cs="FrankRuehl"/>
          <w:sz w:val="28"/>
          <w:szCs w:val="28"/>
          <w:rtl/>
        </w:rPr>
        <w:t>שינוי זה</w:t>
      </w:r>
      <w:r w:rsidR="00775F4D" w:rsidRPr="001A0B66">
        <w:rPr>
          <w:rFonts w:ascii="FrankRuehl" w:hAnsi="FrankRuehl" w:cs="FrankRuehl"/>
          <w:sz w:val="28"/>
          <w:szCs w:val="28"/>
          <w:rtl/>
        </w:rPr>
        <w:t xml:space="preserve"> התמסד כנוהל מקובל גם שנים ארוכות לאחר שמספר העצורים הצטמצם </w:t>
      </w:r>
      <w:r w:rsidR="009E6009" w:rsidRPr="001A0B66">
        <w:rPr>
          <w:rFonts w:ascii="FrankRuehl" w:hAnsi="FrankRuehl" w:cs="FrankRuehl"/>
          <w:sz w:val="28"/>
          <w:szCs w:val="28"/>
          <w:rtl/>
        </w:rPr>
        <w:t>במידה ניכרת</w:t>
      </w:r>
      <w:r w:rsidR="00775F4D" w:rsidRPr="001A0B66">
        <w:rPr>
          <w:rFonts w:ascii="FrankRuehl" w:hAnsi="FrankRuehl" w:cs="FrankRuehl"/>
          <w:sz w:val="28"/>
          <w:szCs w:val="28"/>
          <w:rtl/>
        </w:rPr>
        <w:t>.</w:t>
      </w:r>
      <w:r w:rsidR="00775F4D" w:rsidRPr="001A0B66">
        <w:rPr>
          <w:rStyle w:val="FootnoteReference"/>
          <w:rFonts w:ascii="FrankRuehl" w:hAnsi="FrankRuehl" w:cs="FrankRuehl"/>
          <w:sz w:val="28"/>
          <w:szCs w:val="28"/>
          <w:rtl/>
        </w:rPr>
        <w:footnoteReference w:id="30"/>
      </w:r>
      <w:r w:rsidR="00775F4D" w:rsidRPr="001A0B66">
        <w:rPr>
          <w:rFonts w:ascii="FrankRuehl" w:hAnsi="FrankRuehl" w:cs="FrankRuehl"/>
          <w:sz w:val="28"/>
          <w:szCs w:val="28"/>
          <w:rtl/>
        </w:rPr>
        <w:t xml:space="preserve"> </w:t>
      </w:r>
    </w:p>
    <w:p w14:paraId="1A0F0A0A" w14:textId="77777777" w:rsidR="00FA3C16" w:rsidRPr="001A0B66" w:rsidRDefault="00FA3C16"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התוצאה </w:t>
      </w:r>
      <w:r w:rsidR="00B072C6" w:rsidRPr="001A0B66">
        <w:rPr>
          <w:rFonts w:ascii="FrankRuehl" w:hAnsi="FrankRuehl" w:cs="FrankRuehl"/>
          <w:sz w:val="28"/>
          <w:szCs w:val="28"/>
          <w:rtl/>
        </w:rPr>
        <w:t>הקשה</w:t>
      </w:r>
      <w:r w:rsidRPr="001A0B66">
        <w:rPr>
          <w:rFonts w:ascii="FrankRuehl" w:hAnsi="FrankRuehl" w:cs="FrankRuehl"/>
          <w:sz w:val="28"/>
          <w:szCs w:val="28"/>
          <w:rtl/>
        </w:rPr>
        <w:t xml:space="preserve"> של מצב הדברים </w:t>
      </w:r>
      <w:r w:rsidR="0069698D" w:rsidRPr="001A0B66">
        <w:rPr>
          <w:rFonts w:ascii="FrankRuehl" w:hAnsi="FrankRuehl" w:cs="FrankRuehl"/>
          <w:sz w:val="28"/>
          <w:szCs w:val="28"/>
          <w:rtl/>
        </w:rPr>
        <w:t>הזה,</w:t>
      </w:r>
      <w:r w:rsidR="00AD4D64" w:rsidRPr="001A0B66">
        <w:rPr>
          <w:rFonts w:ascii="FrankRuehl" w:hAnsi="FrankRuehl" w:cs="FrankRuehl"/>
          <w:sz w:val="28"/>
          <w:szCs w:val="28"/>
          <w:rtl/>
        </w:rPr>
        <w:t xml:space="preserve"> היא</w:t>
      </w:r>
      <w:r w:rsidRPr="001A0B66">
        <w:rPr>
          <w:rFonts w:ascii="FrankRuehl" w:hAnsi="FrankRuehl" w:cs="FrankRuehl"/>
          <w:sz w:val="28"/>
          <w:szCs w:val="28"/>
          <w:rtl/>
        </w:rPr>
        <w:t xml:space="preserve"> </w:t>
      </w:r>
      <w:r w:rsidR="00AD4D64" w:rsidRPr="001A0B66">
        <w:rPr>
          <w:rFonts w:ascii="FrankRuehl" w:hAnsi="FrankRuehl" w:cs="FrankRuehl"/>
          <w:sz w:val="28"/>
          <w:szCs w:val="28"/>
          <w:rtl/>
        </w:rPr>
        <w:t>ש</w:t>
      </w:r>
      <w:r w:rsidR="009E6009" w:rsidRPr="001A0B66">
        <w:rPr>
          <w:rFonts w:ascii="FrankRuehl" w:hAnsi="FrankRuehl" w:cs="FrankRuehl"/>
          <w:sz w:val="28"/>
          <w:szCs w:val="28"/>
          <w:rtl/>
        </w:rPr>
        <w:t>ל</w:t>
      </w:r>
      <w:r w:rsidRPr="001A0B66">
        <w:rPr>
          <w:rFonts w:ascii="FrankRuehl" w:hAnsi="FrankRuehl" w:cs="FrankRuehl"/>
          <w:sz w:val="28"/>
          <w:szCs w:val="28"/>
          <w:rtl/>
        </w:rPr>
        <w:t xml:space="preserve">ביקורת השיפוטית </w:t>
      </w:r>
      <w:r w:rsidR="00817FD7" w:rsidRPr="001A0B66">
        <w:rPr>
          <w:rFonts w:ascii="FrankRuehl" w:hAnsi="FrankRuehl" w:cs="FrankRuehl"/>
          <w:sz w:val="28"/>
          <w:szCs w:val="28"/>
          <w:rtl/>
        </w:rPr>
        <w:t xml:space="preserve">על הפעלת סמכויות החירום </w:t>
      </w:r>
      <w:r w:rsidRPr="001A0B66">
        <w:rPr>
          <w:rFonts w:ascii="FrankRuehl" w:hAnsi="FrankRuehl" w:cs="FrankRuehl"/>
          <w:sz w:val="28"/>
          <w:szCs w:val="28"/>
          <w:rtl/>
        </w:rPr>
        <w:t xml:space="preserve">משמעות זניחה בלבד. </w:t>
      </w:r>
      <w:r w:rsidR="009E6009" w:rsidRPr="001A0B66">
        <w:rPr>
          <w:rFonts w:ascii="FrankRuehl" w:hAnsi="FrankRuehl" w:cs="FrankRuehl"/>
          <w:sz w:val="28"/>
          <w:szCs w:val="28"/>
          <w:rtl/>
        </w:rPr>
        <w:t xml:space="preserve">שירי קרבס </w:t>
      </w:r>
      <w:r w:rsidR="007503BA" w:rsidRPr="001A0B66">
        <w:rPr>
          <w:rFonts w:ascii="FrankRuehl" w:hAnsi="FrankRuehl" w:cs="FrankRuehl"/>
          <w:sz w:val="28"/>
          <w:szCs w:val="28"/>
          <w:rtl/>
        </w:rPr>
        <w:t>הדגי</w:t>
      </w:r>
      <w:r w:rsidR="009E6009" w:rsidRPr="001A0B66">
        <w:rPr>
          <w:rFonts w:ascii="FrankRuehl" w:hAnsi="FrankRuehl" w:cs="FrankRuehl"/>
          <w:sz w:val="28"/>
          <w:szCs w:val="28"/>
          <w:rtl/>
        </w:rPr>
        <w:t>מה</w:t>
      </w:r>
      <w:r w:rsidR="007503BA" w:rsidRPr="001A0B66">
        <w:rPr>
          <w:rFonts w:ascii="FrankRuehl" w:hAnsi="FrankRuehl" w:cs="FrankRuehl"/>
          <w:sz w:val="28"/>
          <w:szCs w:val="28"/>
          <w:rtl/>
        </w:rPr>
        <w:t xml:space="preserve"> מציאות זו</w:t>
      </w:r>
      <w:r w:rsidR="001D0D92" w:rsidRPr="001A0B66">
        <w:rPr>
          <w:rFonts w:ascii="FrankRuehl" w:hAnsi="FrankRuehl" w:cs="FrankRuehl"/>
          <w:sz w:val="28"/>
          <w:szCs w:val="28"/>
          <w:rtl/>
        </w:rPr>
        <w:t>.</w:t>
      </w:r>
      <w:r w:rsidRPr="001A0B66">
        <w:rPr>
          <w:rFonts w:ascii="FrankRuehl" w:hAnsi="FrankRuehl" w:cs="FrankRuehl"/>
          <w:sz w:val="28"/>
          <w:szCs w:val="28"/>
          <w:rtl/>
        </w:rPr>
        <w:t xml:space="preserve"> על יסוד בדיקה שיטתית של מאות תיקים</w:t>
      </w:r>
      <w:r w:rsidR="007503BA" w:rsidRPr="001A0B66">
        <w:rPr>
          <w:rFonts w:ascii="FrankRuehl" w:hAnsi="FrankRuehl" w:cs="FrankRuehl"/>
          <w:sz w:val="28"/>
          <w:szCs w:val="28"/>
          <w:rtl/>
        </w:rPr>
        <w:t xml:space="preserve"> בבית המשפט העליון</w:t>
      </w:r>
      <w:r w:rsidRPr="001A0B66">
        <w:rPr>
          <w:rFonts w:ascii="FrankRuehl" w:hAnsi="FrankRuehl" w:cs="FrankRuehl"/>
          <w:sz w:val="28"/>
          <w:szCs w:val="28"/>
          <w:rtl/>
        </w:rPr>
        <w:t xml:space="preserve"> וראיונות ש</w:t>
      </w:r>
      <w:r w:rsidR="009E6009" w:rsidRPr="001A0B66">
        <w:rPr>
          <w:rFonts w:ascii="FrankRuehl" w:hAnsi="FrankRuehl" w:cs="FrankRuehl"/>
          <w:sz w:val="28"/>
          <w:szCs w:val="28"/>
          <w:rtl/>
        </w:rPr>
        <w:t>קיימ</w:t>
      </w:r>
      <w:r w:rsidRPr="001A0B66">
        <w:rPr>
          <w:rFonts w:ascii="FrankRuehl" w:hAnsi="FrankRuehl" w:cs="FrankRuehl"/>
          <w:sz w:val="28"/>
          <w:szCs w:val="28"/>
          <w:rtl/>
        </w:rPr>
        <w:t>ה עם גורמים המעורבים במעצרים מנהליים – שופטים, עורכי דין ופרקליטים –</w:t>
      </w:r>
      <w:r w:rsidR="00882632" w:rsidRPr="001A0B66">
        <w:rPr>
          <w:rFonts w:ascii="FrankRuehl" w:hAnsi="FrankRuehl" w:cs="FrankRuehl"/>
          <w:sz w:val="28"/>
          <w:szCs w:val="28"/>
          <w:rtl/>
        </w:rPr>
        <w:t xml:space="preserve"> </w:t>
      </w:r>
      <w:r w:rsidRPr="001A0B66">
        <w:rPr>
          <w:rFonts w:ascii="FrankRuehl" w:hAnsi="FrankRuehl" w:cs="FrankRuehl"/>
          <w:sz w:val="28"/>
          <w:szCs w:val="28"/>
          <w:rtl/>
        </w:rPr>
        <w:t>מבהירה קרבס כי למרות הרטוריקה השיפוטית</w:t>
      </w:r>
      <w:r w:rsidR="00882632" w:rsidRPr="001A0B66">
        <w:rPr>
          <w:rFonts w:ascii="FrankRuehl" w:hAnsi="FrankRuehl" w:cs="FrankRuehl"/>
          <w:sz w:val="28"/>
          <w:szCs w:val="28"/>
          <w:rtl/>
        </w:rPr>
        <w:t>,</w:t>
      </w:r>
      <w:r w:rsidR="007503BA" w:rsidRPr="001A0B66">
        <w:rPr>
          <w:rFonts w:ascii="FrankRuehl" w:hAnsi="FrankRuehl" w:cs="FrankRuehl"/>
          <w:sz w:val="28"/>
          <w:szCs w:val="28"/>
          <w:rtl/>
        </w:rPr>
        <w:t xml:space="preserve"> </w:t>
      </w:r>
      <w:r w:rsidR="00882632" w:rsidRPr="001A0B66">
        <w:rPr>
          <w:rFonts w:ascii="FrankRuehl" w:hAnsi="FrankRuehl" w:cs="FrankRuehl"/>
          <w:sz w:val="28"/>
          <w:szCs w:val="28"/>
          <w:rtl/>
        </w:rPr>
        <w:t xml:space="preserve">המדגישה לעיתים את בעייתיותן הרבה של הראיות החסויות, </w:t>
      </w:r>
      <w:r w:rsidR="009E6009" w:rsidRPr="001A0B66">
        <w:rPr>
          <w:rFonts w:ascii="FrankRuehl" w:hAnsi="FrankRuehl" w:cs="FrankRuehl"/>
          <w:sz w:val="28"/>
          <w:szCs w:val="28"/>
          <w:rtl/>
        </w:rPr>
        <w:t xml:space="preserve">בתי המשפט מאשרים ללא שינויים את </w:t>
      </w:r>
      <w:r w:rsidRPr="001A0B66">
        <w:rPr>
          <w:rFonts w:ascii="FrankRuehl" w:hAnsi="FrankRuehl" w:cs="FrankRuehl"/>
          <w:sz w:val="28"/>
          <w:szCs w:val="28"/>
          <w:rtl/>
        </w:rPr>
        <w:t>רוב</w:t>
      </w:r>
      <w:r w:rsidR="009E6009" w:rsidRPr="001A0B66">
        <w:rPr>
          <w:rFonts w:ascii="FrankRuehl" w:hAnsi="FrankRuehl" w:cs="FrankRuehl"/>
          <w:sz w:val="28"/>
          <w:szCs w:val="28"/>
          <w:rtl/>
        </w:rPr>
        <w:t>ם</w:t>
      </w:r>
      <w:r w:rsidRPr="001A0B66">
        <w:rPr>
          <w:rFonts w:ascii="FrankRuehl" w:hAnsi="FrankRuehl" w:cs="FrankRuehl"/>
          <w:sz w:val="28"/>
          <w:szCs w:val="28"/>
          <w:rtl/>
        </w:rPr>
        <w:t xml:space="preserve"> </w:t>
      </w:r>
      <w:r w:rsidR="009E6009" w:rsidRPr="001A0B66">
        <w:rPr>
          <w:rFonts w:ascii="FrankRuehl" w:hAnsi="FrankRuehl" w:cs="FrankRuehl"/>
          <w:sz w:val="28"/>
          <w:szCs w:val="28"/>
          <w:rtl/>
        </w:rPr>
        <w:t>ה</w:t>
      </w:r>
      <w:r w:rsidRPr="001A0B66">
        <w:rPr>
          <w:rFonts w:ascii="FrankRuehl" w:hAnsi="FrankRuehl" w:cs="FrankRuehl"/>
          <w:sz w:val="28"/>
          <w:szCs w:val="28"/>
          <w:rtl/>
        </w:rPr>
        <w:t>מוחלט של צווי המעצר.</w:t>
      </w:r>
      <w:r w:rsidRPr="001A0B66">
        <w:rPr>
          <w:rStyle w:val="FootnoteReference"/>
          <w:rFonts w:ascii="FrankRuehl" w:hAnsi="FrankRuehl" w:cs="FrankRuehl"/>
          <w:sz w:val="28"/>
          <w:szCs w:val="28"/>
          <w:rtl/>
        </w:rPr>
        <w:footnoteReference w:id="31"/>
      </w:r>
      <w:r w:rsidRPr="001A0B66">
        <w:rPr>
          <w:rFonts w:ascii="FrankRuehl" w:hAnsi="FrankRuehl" w:cs="FrankRuehl"/>
          <w:sz w:val="28"/>
          <w:szCs w:val="28"/>
          <w:rtl/>
        </w:rPr>
        <w:t xml:space="preserve"> הרטוריקה </w:t>
      </w:r>
      <w:r w:rsidR="00A12452" w:rsidRPr="001A0B66">
        <w:rPr>
          <w:rFonts w:ascii="FrankRuehl" w:hAnsi="FrankRuehl" w:cs="FrankRuehl"/>
          <w:sz w:val="28"/>
          <w:szCs w:val="28"/>
          <w:rtl/>
        </w:rPr>
        <w:t xml:space="preserve">השיפוטית </w:t>
      </w:r>
      <w:r w:rsidRPr="001A0B66">
        <w:rPr>
          <w:rFonts w:ascii="FrankRuehl" w:hAnsi="FrankRuehl" w:cs="FrankRuehl"/>
          <w:sz w:val="28"/>
          <w:szCs w:val="28"/>
          <w:rtl/>
        </w:rPr>
        <w:t xml:space="preserve">מעמידה את בית המשפט בתפקיד </w:t>
      </w:r>
      <w:proofErr w:type="spellStart"/>
      <w:r w:rsidRPr="001A0B66">
        <w:rPr>
          <w:rFonts w:ascii="FrankRuehl" w:hAnsi="FrankRuehl" w:cs="FrankRuehl"/>
          <w:sz w:val="28"/>
          <w:szCs w:val="28"/>
          <w:rtl/>
        </w:rPr>
        <w:t>אינקוויזטורי</w:t>
      </w:r>
      <w:proofErr w:type="spellEnd"/>
      <w:r w:rsidRPr="001A0B66">
        <w:rPr>
          <w:rFonts w:ascii="FrankRuehl" w:hAnsi="FrankRuehl" w:cs="FrankRuehl"/>
          <w:sz w:val="28"/>
          <w:szCs w:val="28"/>
          <w:rtl/>
        </w:rPr>
        <w:t>-אקטיבי</w:t>
      </w:r>
      <w:r w:rsidR="009E6009" w:rsidRPr="001A0B66">
        <w:rPr>
          <w:rFonts w:ascii="FrankRuehl" w:hAnsi="FrankRuehl" w:cs="FrankRuehl"/>
          <w:sz w:val="28"/>
          <w:szCs w:val="28"/>
          <w:rtl/>
        </w:rPr>
        <w:t xml:space="preserve"> כביכול</w:t>
      </w:r>
      <w:r w:rsidRPr="001A0B66">
        <w:rPr>
          <w:rFonts w:ascii="FrankRuehl" w:hAnsi="FrankRuehl" w:cs="FrankRuehl"/>
          <w:sz w:val="28"/>
          <w:szCs w:val="28"/>
          <w:rtl/>
        </w:rPr>
        <w:t>,</w:t>
      </w:r>
      <w:bookmarkStart w:id="33" w:name="_Ref53028801"/>
      <w:r w:rsidRPr="001A0B66">
        <w:rPr>
          <w:rFonts w:ascii="FrankRuehl" w:hAnsi="FrankRuehl" w:cs="FrankRuehl"/>
          <w:sz w:val="28"/>
          <w:szCs w:val="28"/>
          <w:vertAlign w:val="superscript"/>
          <w:rtl/>
        </w:rPr>
        <w:footnoteReference w:id="32"/>
      </w:r>
      <w:bookmarkEnd w:id="33"/>
      <w:r w:rsidRPr="001A0B66">
        <w:rPr>
          <w:rFonts w:ascii="FrankRuehl" w:hAnsi="FrankRuehl" w:cs="FrankRuehl"/>
          <w:sz w:val="28"/>
          <w:szCs w:val="28"/>
          <w:rtl/>
        </w:rPr>
        <w:t xml:space="preserve"> אך </w:t>
      </w:r>
      <w:r w:rsidR="009E6009" w:rsidRPr="001A0B66">
        <w:rPr>
          <w:rFonts w:ascii="FrankRuehl" w:hAnsi="FrankRuehl" w:cs="FrankRuehl"/>
          <w:sz w:val="28"/>
          <w:szCs w:val="28"/>
          <w:rtl/>
        </w:rPr>
        <w:t xml:space="preserve">בפועל </w:t>
      </w:r>
      <w:r w:rsidRPr="001A0B66">
        <w:rPr>
          <w:rFonts w:ascii="FrankRuehl" w:hAnsi="FrankRuehl" w:cs="FrankRuehl"/>
          <w:sz w:val="28"/>
          <w:szCs w:val="28"/>
          <w:rtl/>
        </w:rPr>
        <w:t xml:space="preserve">בית המשפט </w:t>
      </w:r>
      <w:r w:rsidR="009E6009" w:rsidRPr="001A0B66">
        <w:rPr>
          <w:rFonts w:ascii="FrankRuehl" w:hAnsi="FrankRuehl" w:cs="FrankRuehl"/>
          <w:sz w:val="28"/>
          <w:szCs w:val="28"/>
          <w:rtl/>
        </w:rPr>
        <w:t xml:space="preserve">אינו </w:t>
      </w:r>
      <w:r w:rsidRPr="001A0B66">
        <w:rPr>
          <w:rFonts w:ascii="FrankRuehl" w:hAnsi="FrankRuehl" w:cs="FrankRuehl"/>
          <w:sz w:val="28"/>
          <w:szCs w:val="28"/>
          <w:rtl/>
        </w:rPr>
        <w:t>משמש כסנגור</w:t>
      </w:r>
      <w:r w:rsidR="00882632" w:rsidRPr="001A0B66">
        <w:rPr>
          <w:rFonts w:ascii="FrankRuehl" w:hAnsi="FrankRuehl" w:cs="FrankRuehl"/>
          <w:sz w:val="28"/>
          <w:szCs w:val="28"/>
          <w:rtl/>
        </w:rPr>
        <w:t xml:space="preserve"> </w:t>
      </w:r>
      <w:r w:rsidR="009E6009" w:rsidRPr="001A0B66">
        <w:rPr>
          <w:rFonts w:ascii="FrankRuehl" w:hAnsi="FrankRuehl" w:cs="FrankRuehl"/>
          <w:sz w:val="28"/>
          <w:szCs w:val="28"/>
          <w:rtl/>
        </w:rPr>
        <w:t xml:space="preserve">בשום אופן </w:t>
      </w:r>
      <w:r w:rsidR="00882632" w:rsidRPr="001A0B66">
        <w:rPr>
          <w:rFonts w:ascii="FrankRuehl" w:hAnsi="FrankRuehl" w:cs="FrankRuehl"/>
          <w:sz w:val="28"/>
          <w:szCs w:val="28"/>
          <w:rtl/>
        </w:rPr>
        <w:t>ו</w:t>
      </w:r>
      <w:r w:rsidRPr="001A0B66">
        <w:rPr>
          <w:rFonts w:ascii="FrankRuehl" w:hAnsi="FrankRuehl" w:cs="FrankRuehl"/>
          <w:sz w:val="28"/>
          <w:szCs w:val="28"/>
          <w:rtl/>
        </w:rPr>
        <w:t xml:space="preserve">אינו </w:t>
      </w:r>
      <w:r w:rsidRPr="001A0B66">
        <w:rPr>
          <w:rFonts w:ascii="FrankRuehl" w:hAnsi="FrankRuehl" w:cs="FrankRuehl"/>
          <w:sz w:val="28"/>
          <w:szCs w:val="28"/>
          <w:rtl/>
        </w:rPr>
        <w:lastRenderedPageBreak/>
        <w:t xml:space="preserve">מתפקד כשומר סף של זכויות האדם </w:t>
      </w:r>
      <w:r w:rsidR="00E87689" w:rsidRPr="001A0B66">
        <w:rPr>
          <w:rFonts w:ascii="FrankRuehl" w:hAnsi="FrankRuehl" w:cs="FrankRuehl"/>
          <w:sz w:val="28"/>
          <w:szCs w:val="28"/>
          <w:rtl/>
        </w:rPr>
        <w:t xml:space="preserve">בפני </w:t>
      </w:r>
      <w:r w:rsidRPr="001A0B66">
        <w:rPr>
          <w:rFonts w:ascii="FrankRuehl" w:hAnsi="FrankRuehl" w:cs="FrankRuehl"/>
          <w:sz w:val="28"/>
          <w:szCs w:val="28"/>
          <w:rtl/>
        </w:rPr>
        <w:t>כוח</w:t>
      </w:r>
      <w:r w:rsidR="00E87689" w:rsidRPr="001A0B66">
        <w:rPr>
          <w:rFonts w:ascii="FrankRuehl" w:hAnsi="FrankRuehl" w:cs="FrankRuehl"/>
          <w:sz w:val="28"/>
          <w:szCs w:val="28"/>
          <w:rtl/>
        </w:rPr>
        <w:t>ן של</w:t>
      </w:r>
      <w:r w:rsidRPr="001A0B66">
        <w:rPr>
          <w:rFonts w:ascii="FrankRuehl" w:hAnsi="FrankRuehl" w:cs="FrankRuehl"/>
          <w:sz w:val="28"/>
          <w:szCs w:val="28"/>
          <w:rtl/>
        </w:rPr>
        <w:t xml:space="preserve"> </w:t>
      </w:r>
      <w:r w:rsidR="00E87689" w:rsidRPr="001A0B66">
        <w:rPr>
          <w:rFonts w:ascii="FrankRuehl" w:hAnsi="FrankRuehl" w:cs="FrankRuehl"/>
          <w:sz w:val="28"/>
          <w:szCs w:val="28"/>
          <w:rtl/>
        </w:rPr>
        <w:t>ה</w:t>
      </w:r>
      <w:r w:rsidRPr="001A0B66">
        <w:rPr>
          <w:rFonts w:ascii="FrankRuehl" w:hAnsi="FrankRuehl" w:cs="FrankRuehl"/>
          <w:sz w:val="28"/>
          <w:szCs w:val="28"/>
          <w:rtl/>
        </w:rPr>
        <w:t xml:space="preserve">ראיות </w:t>
      </w:r>
      <w:r w:rsidR="00E87689" w:rsidRPr="001A0B66">
        <w:rPr>
          <w:rFonts w:ascii="FrankRuehl" w:hAnsi="FrankRuehl" w:cs="FrankRuehl"/>
          <w:sz w:val="28"/>
          <w:szCs w:val="28"/>
          <w:rtl/>
        </w:rPr>
        <w:t>ה</w:t>
      </w:r>
      <w:r w:rsidRPr="001A0B66">
        <w:rPr>
          <w:rFonts w:ascii="FrankRuehl" w:hAnsi="FrankRuehl" w:cs="FrankRuehl"/>
          <w:sz w:val="28"/>
          <w:szCs w:val="28"/>
          <w:rtl/>
        </w:rPr>
        <w:t>חסויות.</w:t>
      </w:r>
      <w:r w:rsidR="005C0B2F" w:rsidRPr="001A0B66">
        <w:rPr>
          <w:rStyle w:val="FootnoteReference"/>
          <w:rFonts w:ascii="FrankRuehl" w:hAnsi="FrankRuehl" w:cs="FrankRuehl"/>
          <w:sz w:val="28"/>
          <w:szCs w:val="28"/>
          <w:rtl/>
        </w:rPr>
        <w:footnoteReference w:id="33"/>
      </w:r>
      <w:r w:rsidR="008A31D9" w:rsidRPr="001A0B66">
        <w:rPr>
          <w:rFonts w:ascii="FrankRuehl" w:hAnsi="FrankRuehl" w:cs="FrankRuehl"/>
          <w:sz w:val="28"/>
          <w:szCs w:val="28"/>
          <w:rtl/>
        </w:rPr>
        <w:t xml:space="preserve"> יש פגם </w:t>
      </w:r>
      <w:r w:rsidR="009E6009" w:rsidRPr="001A0B66">
        <w:rPr>
          <w:rFonts w:ascii="FrankRuehl" w:hAnsi="FrankRuehl" w:cs="FrankRuehl"/>
          <w:sz w:val="28"/>
          <w:szCs w:val="28"/>
          <w:rtl/>
        </w:rPr>
        <w:t xml:space="preserve">מבני </w:t>
      </w:r>
      <w:r w:rsidR="008A31D9" w:rsidRPr="001A0B66">
        <w:rPr>
          <w:rFonts w:ascii="FrankRuehl" w:hAnsi="FrankRuehl" w:cs="FrankRuehl"/>
          <w:sz w:val="28"/>
          <w:szCs w:val="28"/>
          <w:rtl/>
        </w:rPr>
        <w:t>מהותי בהליך עצמו שהשופטים</w:t>
      </w:r>
      <w:r w:rsidR="009E6009" w:rsidRPr="001A0B66">
        <w:rPr>
          <w:rFonts w:ascii="FrankRuehl" w:hAnsi="FrankRuehl" w:cs="FrankRuehl"/>
          <w:sz w:val="28"/>
          <w:szCs w:val="28"/>
          <w:rtl/>
        </w:rPr>
        <w:t xml:space="preserve"> לא יוכלו לרפא</w:t>
      </w:r>
      <w:r w:rsidR="008A31D9" w:rsidRPr="001A0B66">
        <w:rPr>
          <w:rFonts w:ascii="FrankRuehl" w:hAnsi="FrankRuehl" w:cs="FrankRuehl"/>
          <w:sz w:val="28"/>
          <w:szCs w:val="28"/>
          <w:rtl/>
        </w:rPr>
        <w:t xml:space="preserve">, והוא שהשופט ניגש למלאכת בירור האמת על </w:t>
      </w:r>
      <w:r w:rsidR="009E6009" w:rsidRPr="001A0B66">
        <w:rPr>
          <w:rFonts w:ascii="FrankRuehl" w:hAnsi="FrankRuehl" w:cs="FrankRuehl"/>
          <w:sz w:val="28"/>
          <w:szCs w:val="28"/>
          <w:rtl/>
        </w:rPr>
        <w:t xml:space="preserve">פי </w:t>
      </w:r>
      <w:r w:rsidR="008A31D9" w:rsidRPr="001A0B66">
        <w:rPr>
          <w:rFonts w:ascii="FrankRuehl" w:hAnsi="FrankRuehl" w:cs="FrankRuehl"/>
          <w:sz w:val="28"/>
          <w:szCs w:val="28"/>
          <w:rtl/>
        </w:rPr>
        <w:t xml:space="preserve">מצע שהגישו לו גורמים שאינם אובייקטיבים אלא </w:t>
      </w:r>
      <w:r w:rsidR="009E6009" w:rsidRPr="001A0B66">
        <w:rPr>
          <w:rFonts w:ascii="FrankRuehl" w:hAnsi="FrankRuehl" w:cs="FrankRuehl"/>
          <w:sz w:val="28"/>
          <w:szCs w:val="28"/>
          <w:rtl/>
        </w:rPr>
        <w:t xml:space="preserve">הם </w:t>
      </w:r>
      <w:r w:rsidR="008A31D9" w:rsidRPr="001A0B66">
        <w:rPr>
          <w:rFonts w:ascii="FrankRuehl" w:hAnsi="FrankRuehl" w:cs="FrankRuehl"/>
          <w:sz w:val="28"/>
          <w:szCs w:val="28"/>
          <w:rtl/>
        </w:rPr>
        <w:t xml:space="preserve">צד להליך, </w:t>
      </w:r>
      <w:r w:rsidR="009E6009" w:rsidRPr="001A0B66">
        <w:rPr>
          <w:rFonts w:ascii="FrankRuehl" w:hAnsi="FrankRuehl" w:cs="FrankRuehl"/>
          <w:sz w:val="28"/>
          <w:szCs w:val="28"/>
          <w:rtl/>
        </w:rPr>
        <w:t>מצע ש</w:t>
      </w:r>
      <w:r w:rsidR="008A31D9" w:rsidRPr="001A0B66">
        <w:rPr>
          <w:rFonts w:ascii="FrankRuehl" w:hAnsi="FrankRuehl" w:cs="FrankRuehl"/>
          <w:sz w:val="28"/>
          <w:szCs w:val="28"/>
          <w:rtl/>
        </w:rPr>
        <w:t>לא נבחן על ידי הצד שכנגד.</w:t>
      </w:r>
      <w:r w:rsidR="008A31D9" w:rsidRPr="001A0B66">
        <w:rPr>
          <w:rStyle w:val="FootnoteReference"/>
          <w:rFonts w:ascii="FrankRuehl" w:hAnsi="FrankRuehl" w:cs="FrankRuehl"/>
          <w:sz w:val="28"/>
          <w:szCs w:val="28"/>
          <w:rtl/>
        </w:rPr>
        <w:footnoteReference w:id="34"/>
      </w:r>
      <w:r w:rsidR="008A31D9" w:rsidRPr="001A0B66">
        <w:rPr>
          <w:rFonts w:ascii="FrankRuehl" w:hAnsi="FrankRuehl" w:cs="FrankRuehl"/>
          <w:sz w:val="28"/>
          <w:szCs w:val="28"/>
          <w:rtl/>
        </w:rPr>
        <w:t xml:space="preserve"> </w:t>
      </w:r>
      <w:r w:rsidR="0089397B" w:rsidRPr="001A0B66">
        <w:rPr>
          <w:rFonts w:ascii="FrankRuehl" w:hAnsi="FrankRuehl" w:cs="FrankRuehl"/>
          <w:sz w:val="28"/>
          <w:szCs w:val="28"/>
          <w:rtl/>
        </w:rPr>
        <w:t>בעיה נוספת היא מתן תפקיד אינקוויזיטורי לשופטים</w:t>
      </w:r>
      <w:r w:rsidR="00850BE7">
        <w:rPr>
          <w:rFonts w:ascii="FrankRuehl" w:hAnsi="FrankRuehl" w:cs="FrankRuehl"/>
          <w:sz w:val="28"/>
          <w:szCs w:val="28"/>
          <w:rtl/>
        </w:rPr>
        <w:t xml:space="preserve"> </w:t>
      </w:r>
      <w:r w:rsidR="0089397B" w:rsidRPr="001A0B66">
        <w:rPr>
          <w:rFonts w:ascii="FrankRuehl" w:hAnsi="FrankRuehl" w:cs="FrankRuehl"/>
          <w:sz w:val="28"/>
          <w:szCs w:val="28"/>
          <w:rtl/>
        </w:rPr>
        <w:t>הרגילים לפעול על פי עקרונות אד</w:t>
      </w:r>
      <w:r w:rsidR="009E6009" w:rsidRPr="001A0B66">
        <w:rPr>
          <w:rFonts w:ascii="FrankRuehl" w:hAnsi="FrankRuehl" w:cs="FrankRuehl"/>
          <w:sz w:val="28"/>
          <w:szCs w:val="28"/>
          <w:rtl/>
        </w:rPr>
        <w:t>וו</w:t>
      </w:r>
      <w:r w:rsidR="0089397B" w:rsidRPr="001A0B66">
        <w:rPr>
          <w:rFonts w:ascii="FrankRuehl" w:hAnsi="FrankRuehl" w:cs="FrankRuehl"/>
          <w:sz w:val="28"/>
          <w:szCs w:val="28"/>
          <w:rtl/>
        </w:rPr>
        <w:t>רסריים, ולכן אינם מורגלים למלא תפקיד חוקר ופעיל ונוטים להיבנות על טענות הצדדים, בזמן שביחס לחומר החסוי הם מקבלים עמדה של צד אחד בלבד.</w:t>
      </w:r>
      <w:r w:rsidR="005F6252" w:rsidRPr="001A0B66">
        <w:rPr>
          <w:rStyle w:val="FootnoteReference"/>
          <w:rFonts w:ascii="FrankRuehl" w:hAnsi="FrankRuehl" w:cs="FrankRuehl"/>
          <w:sz w:val="28"/>
          <w:szCs w:val="28"/>
          <w:rtl/>
        </w:rPr>
        <w:footnoteReference w:id="35"/>
      </w:r>
      <w:r w:rsidR="0089397B" w:rsidRPr="001A0B66">
        <w:rPr>
          <w:rStyle w:val="FootnoteReference"/>
          <w:rFonts w:ascii="FrankRuehl" w:hAnsi="FrankRuehl" w:cs="FrankRuehl"/>
          <w:sz w:val="28"/>
          <w:szCs w:val="28"/>
          <w:rtl/>
        </w:rPr>
        <w:t xml:space="preserve"> </w:t>
      </w:r>
      <w:r w:rsidR="007B03F2" w:rsidRPr="001A0B66">
        <w:rPr>
          <w:rFonts w:ascii="FrankRuehl" w:hAnsi="FrankRuehl" w:cs="FrankRuehl"/>
          <w:sz w:val="28"/>
          <w:szCs w:val="28"/>
          <w:rtl/>
        </w:rPr>
        <w:t xml:space="preserve">גישתו של השופט שהם </w:t>
      </w:r>
      <w:r w:rsidR="00FE704B" w:rsidRPr="001A0B66">
        <w:rPr>
          <w:rFonts w:ascii="FrankRuehl" w:hAnsi="FrankRuehl" w:cs="FrankRuehl"/>
          <w:sz w:val="28"/>
          <w:szCs w:val="28"/>
          <w:rtl/>
        </w:rPr>
        <w:t>בעניין</w:t>
      </w:r>
      <w:r w:rsidR="007B03F2" w:rsidRPr="001A0B66">
        <w:rPr>
          <w:rFonts w:ascii="FrankRuehl" w:hAnsi="FrankRuehl" w:cs="FrankRuehl"/>
          <w:sz w:val="28"/>
          <w:szCs w:val="28"/>
          <w:rtl/>
        </w:rPr>
        <w:t xml:space="preserve"> </w:t>
      </w:r>
      <w:r w:rsidR="007B03F2" w:rsidRPr="001A0B66">
        <w:rPr>
          <w:rFonts w:ascii="FrankRuehl" w:hAnsi="FrankRuehl" w:cs="FrankRuehl"/>
          <w:b/>
          <w:bCs/>
          <w:sz w:val="28"/>
          <w:szCs w:val="28"/>
          <w:rtl/>
        </w:rPr>
        <w:t>עברה</w:t>
      </w:r>
      <w:r w:rsidR="007B03F2" w:rsidRPr="001A0B66">
        <w:rPr>
          <w:rFonts w:ascii="FrankRuehl" w:hAnsi="FrankRuehl" w:cs="FrankRuehl"/>
          <w:sz w:val="28"/>
          <w:szCs w:val="28"/>
          <w:rtl/>
        </w:rPr>
        <w:t xml:space="preserve"> </w:t>
      </w:r>
      <w:r w:rsidR="00FE704B" w:rsidRPr="001A0B66">
        <w:rPr>
          <w:rFonts w:ascii="FrankRuehl" w:hAnsi="FrankRuehl" w:cs="FrankRuehl"/>
          <w:sz w:val="28"/>
          <w:szCs w:val="28"/>
          <w:rtl/>
        </w:rPr>
        <w:t xml:space="preserve">שהוזכר </w:t>
      </w:r>
      <w:r w:rsidR="007B03F2" w:rsidRPr="001A0B66">
        <w:rPr>
          <w:rFonts w:ascii="FrankRuehl" w:hAnsi="FrankRuehl" w:cs="FrankRuehl"/>
          <w:sz w:val="28"/>
          <w:szCs w:val="28"/>
          <w:rtl/>
        </w:rPr>
        <w:t xml:space="preserve">לעיל </w:t>
      </w:r>
      <w:r w:rsidR="00FE704B" w:rsidRPr="001A0B66">
        <w:rPr>
          <w:rFonts w:ascii="FrankRuehl" w:hAnsi="FrankRuehl" w:cs="FrankRuehl"/>
          <w:sz w:val="28"/>
          <w:szCs w:val="28"/>
          <w:rtl/>
        </w:rPr>
        <w:t xml:space="preserve">מדגימה </w:t>
      </w:r>
      <w:r w:rsidR="000D2EB6" w:rsidRPr="001A0B66">
        <w:rPr>
          <w:rFonts w:ascii="FrankRuehl" w:hAnsi="FrankRuehl" w:cs="FrankRuehl"/>
          <w:sz w:val="28"/>
          <w:szCs w:val="28"/>
          <w:rtl/>
        </w:rPr>
        <w:t xml:space="preserve">גם היא </w:t>
      </w:r>
      <w:r w:rsidR="007B03F2" w:rsidRPr="001A0B66">
        <w:rPr>
          <w:rFonts w:ascii="FrankRuehl" w:hAnsi="FrankRuehl" w:cs="FrankRuehl"/>
          <w:sz w:val="28"/>
          <w:szCs w:val="28"/>
          <w:rtl/>
        </w:rPr>
        <w:t>את</w:t>
      </w:r>
      <w:r w:rsidR="000D2EB6" w:rsidRPr="001A0B66">
        <w:rPr>
          <w:rFonts w:ascii="FrankRuehl" w:hAnsi="FrankRuehl" w:cs="FrankRuehl"/>
          <w:sz w:val="28"/>
          <w:szCs w:val="28"/>
          <w:rtl/>
        </w:rPr>
        <w:t xml:space="preserve"> הקשיים</w:t>
      </w:r>
      <w:r w:rsidR="00882632" w:rsidRPr="001A0B66">
        <w:rPr>
          <w:rFonts w:ascii="FrankRuehl" w:hAnsi="FrankRuehl" w:cs="FrankRuehl"/>
          <w:sz w:val="28"/>
          <w:szCs w:val="28"/>
          <w:rtl/>
        </w:rPr>
        <w:t xml:space="preserve"> הללו, שכן השופט שהם מקבל א</w:t>
      </w:r>
      <w:r w:rsidR="007B03F2" w:rsidRPr="001A0B66">
        <w:rPr>
          <w:rFonts w:ascii="FrankRuehl" w:hAnsi="FrankRuehl" w:cs="FrankRuehl"/>
          <w:sz w:val="28"/>
          <w:szCs w:val="28"/>
          <w:rtl/>
        </w:rPr>
        <w:t xml:space="preserve">ת </w:t>
      </w:r>
      <w:r w:rsidR="00B072C6" w:rsidRPr="001A0B66">
        <w:rPr>
          <w:rFonts w:ascii="FrankRuehl" w:hAnsi="FrankRuehl" w:cs="FrankRuehl"/>
          <w:sz w:val="28"/>
          <w:szCs w:val="28"/>
          <w:rtl/>
        </w:rPr>
        <w:t>שינוי ההתנהלות</w:t>
      </w:r>
      <w:r w:rsidR="00FE704B" w:rsidRPr="001A0B66">
        <w:rPr>
          <w:rFonts w:ascii="FrankRuehl" w:hAnsi="FrankRuehl" w:cs="FrankRuehl"/>
          <w:sz w:val="28"/>
          <w:szCs w:val="28"/>
          <w:rtl/>
        </w:rPr>
        <w:t xml:space="preserve"> </w:t>
      </w:r>
      <w:r w:rsidR="00A2550B" w:rsidRPr="001A0B66">
        <w:rPr>
          <w:rFonts w:ascii="FrankRuehl" w:hAnsi="FrankRuehl" w:cs="FrankRuehl"/>
          <w:sz w:val="28"/>
          <w:szCs w:val="28"/>
          <w:rtl/>
        </w:rPr>
        <w:t>(</w:t>
      </w:r>
      <w:r w:rsidR="007B03F2" w:rsidRPr="001A0B66">
        <w:rPr>
          <w:rFonts w:ascii="FrankRuehl" w:hAnsi="FrankRuehl" w:cs="FrankRuehl"/>
          <w:sz w:val="28"/>
          <w:szCs w:val="28"/>
          <w:rtl/>
        </w:rPr>
        <w:t xml:space="preserve">לפיו </w:t>
      </w:r>
      <w:r w:rsidR="00A2550B" w:rsidRPr="001A0B66">
        <w:rPr>
          <w:rFonts w:ascii="FrankRuehl" w:hAnsi="FrankRuehl" w:cs="FrankRuehl"/>
          <w:sz w:val="28"/>
          <w:szCs w:val="28"/>
          <w:rtl/>
        </w:rPr>
        <w:t>עורך הדין מטעם המדינה</w:t>
      </w:r>
      <w:r w:rsidR="007B03F2" w:rsidRPr="001A0B66">
        <w:rPr>
          <w:rFonts w:ascii="FrankRuehl" w:hAnsi="FrankRuehl" w:cs="FrankRuehl"/>
          <w:sz w:val="28"/>
          <w:szCs w:val="28"/>
          <w:rtl/>
        </w:rPr>
        <w:t xml:space="preserve"> אינו מלווה עוד בנציג השב"כ</w:t>
      </w:r>
      <w:r w:rsidR="00A2550B" w:rsidRPr="001A0B66">
        <w:rPr>
          <w:rFonts w:ascii="FrankRuehl" w:hAnsi="FrankRuehl" w:cs="FrankRuehl"/>
          <w:sz w:val="28"/>
          <w:szCs w:val="28"/>
          <w:rtl/>
        </w:rPr>
        <w:t xml:space="preserve"> שיכול להשיב לשאלות עובדתיות שונות)</w:t>
      </w:r>
      <w:r w:rsidR="007B03F2" w:rsidRPr="001A0B66">
        <w:rPr>
          <w:rFonts w:ascii="FrankRuehl" w:hAnsi="FrankRuehl" w:cs="FrankRuehl"/>
          <w:sz w:val="28"/>
          <w:szCs w:val="28"/>
          <w:rtl/>
        </w:rPr>
        <w:t xml:space="preserve"> כ</w:t>
      </w:r>
      <w:r w:rsidR="00A12452" w:rsidRPr="001A0B66">
        <w:rPr>
          <w:rFonts w:ascii="FrankRuehl" w:hAnsi="FrankRuehl" w:cs="FrankRuehl"/>
          <w:sz w:val="28"/>
          <w:szCs w:val="28"/>
          <w:rtl/>
        </w:rPr>
        <w:t>אילו</w:t>
      </w:r>
      <w:r w:rsidR="00882632" w:rsidRPr="001A0B66">
        <w:rPr>
          <w:rFonts w:ascii="FrankRuehl" w:hAnsi="FrankRuehl" w:cs="FrankRuehl"/>
          <w:sz w:val="28"/>
          <w:szCs w:val="28"/>
          <w:rtl/>
        </w:rPr>
        <w:t xml:space="preserve"> מדובר</w:t>
      </w:r>
      <w:r w:rsidR="00A12452" w:rsidRPr="001A0B66">
        <w:rPr>
          <w:rFonts w:ascii="FrankRuehl" w:hAnsi="FrankRuehl" w:cs="FrankRuehl"/>
          <w:sz w:val="28"/>
          <w:szCs w:val="28"/>
          <w:rtl/>
        </w:rPr>
        <w:t xml:space="preserve"> היה</w:t>
      </w:r>
      <w:r w:rsidR="00882632" w:rsidRPr="001A0B66">
        <w:rPr>
          <w:rFonts w:ascii="FrankRuehl" w:hAnsi="FrankRuehl" w:cs="FrankRuehl"/>
          <w:sz w:val="28"/>
          <w:szCs w:val="28"/>
          <w:rtl/>
        </w:rPr>
        <w:t xml:space="preserve"> ב"</w:t>
      </w:r>
      <w:r w:rsidR="007B03F2" w:rsidRPr="001A0B66">
        <w:rPr>
          <w:rFonts w:ascii="FrankRuehl" w:hAnsi="FrankRuehl" w:cs="FrankRuehl"/>
          <w:sz w:val="28"/>
          <w:szCs w:val="28"/>
          <w:rtl/>
        </w:rPr>
        <w:t>חוק טבע</w:t>
      </w:r>
      <w:r w:rsidR="00882632" w:rsidRPr="001A0B66">
        <w:rPr>
          <w:rFonts w:ascii="FrankRuehl" w:hAnsi="FrankRuehl" w:cs="FrankRuehl"/>
          <w:sz w:val="28"/>
          <w:szCs w:val="28"/>
          <w:rtl/>
        </w:rPr>
        <w:t>"</w:t>
      </w:r>
      <w:r w:rsidR="007B03F2" w:rsidRPr="001A0B66">
        <w:rPr>
          <w:rFonts w:ascii="FrankRuehl" w:hAnsi="FrankRuehl" w:cs="FrankRuehl"/>
          <w:sz w:val="28"/>
          <w:szCs w:val="28"/>
          <w:rtl/>
        </w:rPr>
        <w:t xml:space="preserve"> שאין לבית המשפט השפעה עליו. </w:t>
      </w:r>
      <w:r w:rsidR="00A2550B" w:rsidRPr="001A0B66">
        <w:rPr>
          <w:rFonts w:ascii="FrankRuehl" w:hAnsi="FrankRuehl" w:cs="FrankRuehl"/>
          <w:sz w:val="28"/>
          <w:szCs w:val="28"/>
          <w:rtl/>
        </w:rPr>
        <w:t>למרבה ה</w:t>
      </w:r>
      <w:r w:rsidR="00E36CED">
        <w:rPr>
          <w:rFonts w:ascii="FrankRuehl" w:hAnsi="FrankRuehl" w:cs="FrankRuehl"/>
          <w:sz w:val="28"/>
          <w:szCs w:val="28"/>
          <w:rtl/>
        </w:rPr>
        <w:t>צער</w:t>
      </w:r>
      <w:r w:rsidR="00A2550B" w:rsidRPr="001A0B66">
        <w:rPr>
          <w:rFonts w:ascii="FrankRuehl" w:hAnsi="FrankRuehl" w:cs="FrankRuehl"/>
          <w:sz w:val="28"/>
          <w:szCs w:val="28"/>
          <w:rtl/>
        </w:rPr>
        <w:t xml:space="preserve">, </w:t>
      </w:r>
      <w:r w:rsidR="007B03F2" w:rsidRPr="001A0B66">
        <w:rPr>
          <w:rFonts w:ascii="FrankRuehl" w:hAnsi="FrankRuehl" w:cs="FrankRuehl"/>
          <w:sz w:val="28"/>
          <w:szCs w:val="28"/>
          <w:rtl/>
        </w:rPr>
        <w:t>בית המשפט</w:t>
      </w:r>
      <w:r w:rsidRPr="001A0B66">
        <w:rPr>
          <w:rFonts w:ascii="FrankRuehl" w:hAnsi="FrankRuehl" w:cs="FrankRuehl"/>
          <w:sz w:val="28"/>
          <w:szCs w:val="28"/>
          <w:rtl/>
        </w:rPr>
        <w:t xml:space="preserve"> פועל כסוג של חוליה בשרשרת </w:t>
      </w:r>
      <w:r w:rsidR="00FE704B" w:rsidRPr="001A0B66">
        <w:rPr>
          <w:rFonts w:ascii="FrankRuehl" w:hAnsi="FrankRuehl" w:cs="FrankRuehl"/>
          <w:sz w:val="28"/>
          <w:szCs w:val="28"/>
          <w:rtl/>
        </w:rPr>
        <w:t>ו</w:t>
      </w:r>
      <w:r w:rsidRPr="001A0B66">
        <w:rPr>
          <w:rFonts w:ascii="FrankRuehl" w:hAnsi="FrankRuehl" w:cs="FrankRuehl"/>
          <w:sz w:val="28"/>
          <w:szCs w:val="28"/>
          <w:rtl/>
        </w:rPr>
        <w:t>מעניק כסות של הוגנות להתנהלות הרחוקה מכך.</w:t>
      </w:r>
      <w:r w:rsidRPr="001A0B66">
        <w:rPr>
          <w:rStyle w:val="FootnoteReference"/>
          <w:rFonts w:ascii="FrankRuehl" w:hAnsi="FrankRuehl" w:cs="FrankRuehl"/>
          <w:sz w:val="28"/>
          <w:szCs w:val="28"/>
          <w:rtl/>
        </w:rPr>
        <w:footnoteReference w:id="36"/>
      </w:r>
    </w:p>
    <w:p w14:paraId="4E00D722" w14:textId="77777777" w:rsidR="00A2550B" w:rsidRPr="001A0B66" w:rsidRDefault="00A12452"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ההליך</w:t>
      </w:r>
      <w:r w:rsidR="00612272" w:rsidRPr="001A0B66">
        <w:rPr>
          <w:rFonts w:ascii="FrankRuehl" w:hAnsi="FrankRuehl" w:cs="FrankRuehl"/>
          <w:sz w:val="28"/>
          <w:szCs w:val="28"/>
          <w:rtl/>
        </w:rPr>
        <w:t xml:space="preserve"> </w:t>
      </w:r>
      <w:r w:rsidR="00657CCA">
        <w:rPr>
          <w:rFonts w:ascii="FrankRuehl" w:hAnsi="FrankRuehl" w:cs="FrankRuehl"/>
          <w:sz w:val="28"/>
          <w:szCs w:val="28"/>
          <w:rtl/>
        </w:rPr>
        <w:t xml:space="preserve">האפשרי </w:t>
      </w:r>
      <w:r w:rsidR="00612272" w:rsidRPr="001A0B66">
        <w:rPr>
          <w:rFonts w:ascii="FrankRuehl" w:hAnsi="FrankRuehl" w:cs="FrankRuehl"/>
          <w:sz w:val="28"/>
          <w:szCs w:val="28"/>
          <w:rtl/>
        </w:rPr>
        <w:t xml:space="preserve">שתואר זה עתה </w:t>
      </w:r>
      <w:r w:rsidR="00C95187" w:rsidRPr="001A0B66">
        <w:rPr>
          <w:rFonts w:ascii="FrankRuehl" w:hAnsi="FrankRuehl" w:cs="FrankRuehl"/>
          <w:sz w:val="28"/>
          <w:szCs w:val="28"/>
          <w:rtl/>
        </w:rPr>
        <w:t>– עיון של השופטים בראיות החסויות ומהלך א</w:t>
      </w:r>
      <w:r w:rsidR="00FE704B" w:rsidRPr="001A0B66">
        <w:rPr>
          <w:rFonts w:ascii="FrankRuehl" w:hAnsi="FrankRuehl" w:cs="FrankRuehl"/>
          <w:sz w:val="28"/>
          <w:szCs w:val="28"/>
          <w:rtl/>
        </w:rPr>
        <w:t>י</w:t>
      </w:r>
      <w:r w:rsidR="00C95187" w:rsidRPr="001A0B66">
        <w:rPr>
          <w:rFonts w:ascii="FrankRuehl" w:hAnsi="FrankRuehl" w:cs="FrankRuehl"/>
          <w:sz w:val="28"/>
          <w:szCs w:val="28"/>
          <w:rtl/>
        </w:rPr>
        <w:t>נק</w:t>
      </w:r>
      <w:r w:rsidR="00FE704B" w:rsidRPr="001A0B66">
        <w:rPr>
          <w:rFonts w:ascii="FrankRuehl" w:hAnsi="FrankRuehl" w:cs="FrankRuehl"/>
          <w:sz w:val="28"/>
          <w:szCs w:val="28"/>
          <w:rtl/>
        </w:rPr>
        <w:t>ו</w:t>
      </w:r>
      <w:r w:rsidR="00C95187" w:rsidRPr="001A0B66">
        <w:rPr>
          <w:rFonts w:ascii="FrankRuehl" w:hAnsi="FrankRuehl" w:cs="FrankRuehl"/>
          <w:sz w:val="28"/>
          <w:szCs w:val="28"/>
          <w:rtl/>
        </w:rPr>
        <w:t xml:space="preserve">ויזיטורי שלהם </w:t>
      </w:r>
      <w:r w:rsidR="00FE704B" w:rsidRPr="001A0B66">
        <w:rPr>
          <w:rFonts w:ascii="FrankRuehl" w:hAnsi="FrankRuehl" w:cs="FrankRuehl"/>
          <w:sz w:val="28"/>
          <w:szCs w:val="28"/>
          <w:rtl/>
        </w:rPr>
        <w:t>כלפי</w:t>
      </w:r>
      <w:r w:rsidR="00C95187" w:rsidRPr="001A0B66">
        <w:rPr>
          <w:rFonts w:ascii="FrankRuehl" w:hAnsi="FrankRuehl" w:cs="FrankRuehl"/>
          <w:sz w:val="28"/>
          <w:szCs w:val="28"/>
          <w:rtl/>
        </w:rPr>
        <w:t xml:space="preserve"> החוקרים </w:t>
      </w:r>
      <w:r w:rsidR="00FE704B" w:rsidRPr="001A0B66">
        <w:rPr>
          <w:rFonts w:ascii="FrankRuehl" w:hAnsi="FrankRuehl" w:cs="FrankRuehl"/>
          <w:sz w:val="28"/>
          <w:szCs w:val="28"/>
          <w:rtl/>
        </w:rPr>
        <w:t xml:space="preserve">מטעם </w:t>
      </w:r>
      <w:r w:rsidR="00C95187" w:rsidRPr="001A0B66">
        <w:rPr>
          <w:rFonts w:ascii="FrankRuehl" w:hAnsi="FrankRuehl" w:cs="FrankRuehl"/>
          <w:sz w:val="28"/>
          <w:szCs w:val="28"/>
          <w:rtl/>
        </w:rPr>
        <w:t>רשויות הביטחון – כונה על ידי ברק</w:t>
      </w:r>
      <w:r w:rsidR="00CA0585" w:rsidRPr="001A0B66">
        <w:rPr>
          <w:rFonts w:ascii="FrankRuehl" w:hAnsi="FrankRuehl" w:cs="FrankRuehl"/>
          <w:sz w:val="28"/>
          <w:szCs w:val="28"/>
          <w:rtl/>
        </w:rPr>
        <w:t>-</w:t>
      </w:r>
      <w:r w:rsidR="00C95187" w:rsidRPr="001A0B66">
        <w:rPr>
          <w:rFonts w:ascii="FrankRuehl" w:hAnsi="FrankRuehl" w:cs="FrankRuehl"/>
          <w:sz w:val="28"/>
          <w:szCs w:val="28"/>
          <w:rtl/>
        </w:rPr>
        <w:t xml:space="preserve">ארז </w:t>
      </w:r>
      <w:proofErr w:type="spellStart"/>
      <w:r w:rsidR="00C95187" w:rsidRPr="001A0B66">
        <w:rPr>
          <w:rFonts w:ascii="FrankRuehl" w:hAnsi="FrankRuehl" w:cs="FrankRuehl"/>
          <w:sz w:val="28"/>
          <w:szCs w:val="28"/>
          <w:rtl/>
        </w:rPr>
        <w:t>ווקסמן</w:t>
      </w:r>
      <w:proofErr w:type="spellEnd"/>
      <w:r w:rsidR="00C95187" w:rsidRPr="001A0B66">
        <w:rPr>
          <w:rFonts w:ascii="FrankRuehl" w:hAnsi="FrankRuehl" w:cs="FrankRuehl"/>
          <w:sz w:val="28"/>
          <w:szCs w:val="28"/>
          <w:rtl/>
        </w:rPr>
        <w:t xml:space="preserve"> מודל הניהול השיפוטי (</w:t>
      </w:r>
      <w:r w:rsidR="00C95187" w:rsidRPr="001A0B66">
        <w:rPr>
          <w:rFonts w:ascii="FrankRuehl" w:hAnsi="FrankRuehl" w:cs="FrankRuehl"/>
          <w:sz w:val="28"/>
          <w:szCs w:val="28"/>
        </w:rPr>
        <w:t>judicial management</w:t>
      </w:r>
      <w:r w:rsidR="00C95187" w:rsidRPr="001A0B66">
        <w:rPr>
          <w:rFonts w:ascii="FrankRuehl" w:hAnsi="FrankRuehl" w:cs="FrankRuehl"/>
          <w:sz w:val="28"/>
          <w:szCs w:val="28"/>
          <w:rtl/>
        </w:rPr>
        <w:t>), וה</w:t>
      </w:r>
      <w:r w:rsidRPr="001A0B66">
        <w:rPr>
          <w:rFonts w:ascii="FrankRuehl" w:hAnsi="FrankRuehl" w:cs="FrankRuehl"/>
          <w:sz w:val="28"/>
          <w:szCs w:val="28"/>
          <w:rtl/>
        </w:rPr>
        <w:t>ו</w:t>
      </w:r>
      <w:r w:rsidR="00C95187" w:rsidRPr="001A0B66">
        <w:rPr>
          <w:rFonts w:ascii="FrankRuehl" w:hAnsi="FrankRuehl" w:cs="FrankRuehl"/>
          <w:sz w:val="28"/>
          <w:szCs w:val="28"/>
          <w:rtl/>
        </w:rPr>
        <w:t xml:space="preserve">א נועד להתגבר חלקית על חסיון חומר הראיות </w:t>
      </w:r>
      <w:r w:rsidR="00FE704B" w:rsidRPr="001A0B66">
        <w:rPr>
          <w:rFonts w:ascii="FrankRuehl" w:hAnsi="FrankRuehl" w:cs="FrankRuehl"/>
          <w:sz w:val="28"/>
          <w:szCs w:val="28"/>
          <w:rtl/>
        </w:rPr>
        <w:t xml:space="preserve">באמצעות </w:t>
      </w:r>
      <w:r w:rsidR="00C95187" w:rsidRPr="001A0B66">
        <w:rPr>
          <w:rFonts w:ascii="FrankRuehl" w:hAnsi="FrankRuehl" w:cs="FrankRuehl"/>
          <w:sz w:val="28"/>
          <w:szCs w:val="28"/>
          <w:rtl/>
        </w:rPr>
        <w:t>חשיפתו לעיני בית המשפט בלבד</w:t>
      </w:r>
      <w:r w:rsidR="00C332B4" w:rsidRPr="001A0B66">
        <w:rPr>
          <w:rFonts w:ascii="FrankRuehl" w:hAnsi="FrankRuehl" w:cs="FrankRuehl"/>
          <w:sz w:val="28"/>
          <w:szCs w:val="28"/>
          <w:rtl/>
        </w:rPr>
        <w:t>.</w:t>
      </w:r>
      <w:r w:rsidR="00C332B4" w:rsidRPr="001A0B66">
        <w:rPr>
          <w:rFonts w:ascii="FrankRuehl" w:hAnsi="FrankRuehl" w:cs="FrankRuehl"/>
          <w:sz w:val="28"/>
          <w:szCs w:val="28"/>
          <w:vertAlign w:val="superscript"/>
          <w:rtl/>
        </w:rPr>
        <w:footnoteReference w:id="37"/>
      </w:r>
      <w:r w:rsidR="00531E70" w:rsidRPr="001A0B66">
        <w:rPr>
          <w:rFonts w:ascii="FrankRuehl" w:hAnsi="FrankRuehl" w:cs="FrankRuehl"/>
          <w:sz w:val="28"/>
          <w:szCs w:val="28"/>
          <w:rtl/>
        </w:rPr>
        <w:t xml:space="preserve"> </w:t>
      </w:r>
      <w:r w:rsidR="00FE704B" w:rsidRPr="001A0B66">
        <w:rPr>
          <w:rFonts w:ascii="FrankRuehl" w:hAnsi="FrankRuehl" w:cs="FrankRuehl"/>
          <w:sz w:val="28"/>
          <w:szCs w:val="28"/>
          <w:rtl/>
        </w:rPr>
        <w:t xml:space="preserve">אולם </w:t>
      </w:r>
      <w:r w:rsidRPr="001A0B66">
        <w:rPr>
          <w:rFonts w:ascii="FrankRuehl" w:hAnsi="FrankRuehl" w:cs="FrankRuehl"/>
          <w:sz w:val="28"/>
          <w:szCs w:val="28"/>
          <w:rtl/>
        </w:rPr>
        <w:t xml:space="preserve">כפי </w:t>
      </w:r>
      <w:r w:rsidR="00FE704B" w:rsidRPr="001A0B66">
        <w:rPr>
          <w:rFonts w:ascii="FrankRuehl" w:hAnsi="FrankRuehl" w:cs="FrankRuehl"/>
          <w:sz w:val="28"/>
          <w:szCs w:val="28"/>
          <w:rtl/>
        </w:rPr>
        <w:t>שעולה מ</w:t>
      </w:r>
      <w:r w:rsidRPr="001A0B66">
        <w:rPr>
          <w:rFonts w:ascii="FrankRuehl" w:hAnsi="FrankRuehl" w:cs="FrankRuehl"/>
          <w:sz w:val="28"/>
          <w:szCs w:val="28"/>
          <w:rtl/>
        </w:rPr>
        <w:t>מחקר</w:t>
      </w:r>
      <w:r w:rsidR="00FE704B" w:rsidRPr="001A0B66">
        <w:rPr>
          <w:rFonts w:ascii="FrankRuehl" w:hAnsi="FrankRuehl" w:cs="FrankRuehl"/>
          <w:sz w:val="28"/>
          <w:szCs w:val="28"/>
          <w:rtl/>
        </w:rPr>
        <w:t>ה</w:t>
      </w:r>
      <w:r w:rsidRPr="001A0B66">
        <w:rPr>
          <w:rFonts w:ascii="FrankRuehl" w:hAnsi="FrankRuehl" w:cs="FrankRuehl"/>
          <w:sz w:val="28"/>
          <w:szCs w:val="28"/>
          <w:rtl/>
        </w:rPr>
        <w:t xml:space="preserve"> של קרבס, </w:t>
      </w:r>
      <w:r w:rsidR="00531E70" w:rsidRPr="001A0B66">
        <w:rPr>
          <w:rFonts w:ascii="FrankRuehl" w:hAnsi="FrankRuehl" w:cs="FrankRuehl"/>
          <w:sz w:val="28"/>
          <w:szCs w:val="28"/>
          <w:rtl/>
        </w:rPr>
        <w:t xml:space="preserve">מודל זה </w:t>
      </w:r>
      <w:r w:rsidRPr="001A0B66">
        <w:rPr>
          <w:rFonts w:ascii="FrankRuehl" w:hAnsi="FrankRuehl" w:cs="FrankRuehl"/>
          <w:sz w:val="28"/>
          <w:szCs w:val="28"/>
          <w:rtl/>
        </w:rPr>
        <w:t>נ</w:t>
      </w:r>
      <w:r w:rsidR="00531E70" w:rsidRPr="001A0B66">
        <w:rPr>
          <w:rFonts w:ascii="FrankRuehl" w:hAnsi="FrankRuehl" w:cs="FrankRuehl"/>
          <w:sz w:val="28"/>
          <w:szCs w:val="28"/>
          <w:rtl/>
        </w:rPr>
        <w:t>כשל בישראל, ואנו מתקשים להאמין באפשרות לעשותו לממשי.</w:t>
      </w:r>
      <w:r w:rsidR="00357DAC" w:rsidRPr="001A0B66">
        <w:rPr>
          <w:rFonts w:ascii="FrankRuehl" w:hAnsi="FrankRuehl" w:cs="FrankRuehl"/>
          <w:sz w:val="28"/>
          <w:szCs w:val="28"/>
          <w:vertAlign w:val="superscript"/>
          <w:rtl/>
        </w:rPr>
        <w:t xml:space="preserve"> </w:t>
      </w:r>
      <w:r w:rsidR="00357DAC" w:rsidRPr="001A0B66">
        <w:rPr>
          <w:rFonts w:ascii="FrankRuehl" w:hAnsi="FrankRuehl" w:cs="FrankRuehl"/>
          <w:sz w:val="28"/>
          <w:szCs w:val="28"/>
          <w:vertAlign w:val="superscript"/>
          <w:rtl/>
        </w:rPr>
        <w:footnoteReference w:id="38"/>
      </w:r>
      <w:r w:rsidR="00531E70" w:rsidRPr="001A0B66">
        <w:rPr>
          <w:rFonts w:ascii="FrankRuehl" w:hAnsi="FrankRuehl" w:cs="FrankRuehl"/>
          <w:sz w:val="28"/>
          <w:szCs w:val="28"/>
          <w:rtl/>
        </w:rPr>
        <w:t xml:space="preserve"> </w:t>
      </w:r>
    </w:p>
    <w:p w14:paraId="114A015B" w14:textId="77777777" w:rsidR="007503BA" w:rsidRPr="001A0B66" w:rsidRDefault="00AD4D6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מודל </w:t>
      </w:r>
      <w:r w:rsidR="00FE704B" w:rsidRPr="00B42B50">
        <w:rPr>
          <w:rFonts w:ascii="FrankRuehl" w:hAnsi="FrankRuehl" w:cs="FrankRuehl"/>
          <w:b/>
          <w:bCs/>
          <w:sz w:val="28"/>
          <w:szCs w:val="28"/>
          <w:rtl/>
        </w:rPr>
        <w:t>נוסף</w:t>
      </w:r>
      <w:r w:rsidR="00FE704B" w:rsidRPr="001A0B66">
        <w:rPr>
          <w:rFonts w:ascii="FrankRuehl" w:hAnsi="FrankRuehl" w:cs="FrankRuehl"/>
          <w:sz w:val="28"/>
          <w:szCs w:val="28"/>
          <w:rtl/>
        </w:rPr>
        <w:t xml:space="preserve"> </w:t>
      </w:r>
      <w:r w:rsidRPr="001A0B66">
        <w:rPr>
          <w:rFonts w:ascii="FrankRuehl" w:hAnsi="FrankRuehl" w:cs="FrankRuehl"/>
          <w:sz w:val="28"/>
          <w:szCs w:val="28"/>
          <w:rtl/>
        </w:rPr>
        <w:t>שמתארים ברק</w:t>
      </w:r>
      <w:r w:rsidR="00CA0585" w:rsidRPr="001A0B66">
        <w:rPr>
          <w:rFonts w:ascii="FrankRuehl" w:hAnsi="FrankRuehl" w:cs="FrankRuehl"/>
          <w:sz w:val="28"/>
          <w:szCs w:val="28"/>
          <w:rtl/>
        </w:rPr>
        <w:t>-</w:t>
      </w:r>
      <w:r w:rsidRPr="001A0B66">
        <w:rPr>
          <w:rFonts w:ascii="FrankRuehl" w:hAnsi="FrankRuehl" w:cs="FrankRuehl"/>
          <w:sz w:val="28"/>
          <w:szCs w:val="28"/>
          <w:rtl/>
        </w:rPr>
        <w:t xml:space="preserve">ארז </w:t>
      </w:r>
      <w:proofErr w:type="spellStart"/>
      <w:r w:rsidRPr="001A0B66">
        <w:rPr>
          <w:rFonts w:ascii="FrankRuehl" w:hAnsi="FrankRuehl" w:cs="FrankRuehl"/>
          <w:sz w:val="28"/>
          <w:szCs w:val="28"/>
          <w:rtl/>
        </w:rPr>
        <w:t>ווקסמן</w:t>
      </w:r>
      <w:proofErr w:type="spellEnd"/>
      <w:r w:rsidRPr="001A0B66">
        <w:rPr>
          <w:rFonts w:ascii="FrankRuehl" w:hAnsi="FrankRuehl" w:cs="FrankRuehl"/>
          <w:sz w:val="28"/>
          <w:szCs w:val="28"/>
          <w:rtl/>
        </w:rPr>
        <w:t xml:space="preserve"> הוא מודל הפרקליט המיוחד (</w:t>
      </w:r>
      <w:r w:rsidRPr="001A0B66">
        <w:rPr>
          <w:rFonts w:ascii="FrankRuehl" w:hAnsi="FrankRuehl" w:cs="FrankRuehl"/>
          <w:sz w:val="28"/>
          <w:szCs w:val="28"/>
        </w:rPr>
        <w:t>special</w:t>
      </w:r>
      <w:r w:rsidR="00612272" w:rsidRPr="001A0B66">
        <w:rPr>
          <w:rFonts w:ascii="FrankRuehl" w:hAnsi="FrankRuehl" w:cs="FrankRuehl"/>
          <w:sz w:val="28"/>
          <w:szCs w:val="28"/>
          <w:rtl/>
        </w:rPr>
        <w:t xml:space="preserve"> </w:t>
      </w:r>
      <w:r w:rsidRPr="001A0B66">
        <w:rPr>
          <w:rFonts w:ascii="FrankRuehl" w:hAnsi="FrankRuehl" w:cs="FrankRuehl"/>
          <w:sz w:val="28"/>
          <w:szCs w:val="28"/>
        </w:rPr>
        <w:t>advocate</w:t>
      </w:r>
      <w:r w:rsidRPr="001A0B66">
        <w:rPr>
          <w:rFonts w:ascii="FrankRuehl" w:hAnsi="FrankRuehl" w:cs="FrankRuehl"/>
          <w:sz w:val="28"/>
          <w:szCs w:val="28"/>
          <w:rtl/>
        </w:rPr>
        <w:t>)</w:t>
      </w:r>
      <w:r w:rsidR="00FE704B" w:rsidRPr="001A0B66">
        <w:rPr>
          <w:rFonts w:ascii="FrankRuehl" w:hAnsi="FrankRuehl" w:cs="FrankRuehl"/>
          <w:sz w:val="28"/>
          <w:szCs w:val="28"/>
          <w:rtl/>
        </w:rPr>
        <w:t>.</w:t>
      </w:r>
      <w:r w:rsidRPr="001A0B66">
        <w:rPr>
          <w:rFonts w:ascii="FrankRuehl" w:hAnsi="FrankRuehl" w:cs="FrankRuehl"/>
          <w:sz w:val="28"/>
          <w:szCs w:val="28"/>
          <w:rtl/>
        </w:rPr>
        <w:t xml:space="preserve"> </w:t>
      </w:r>
      <w:r w:rsidR="00FE704B" w:rsidRPr="001A0B66">
        <w:rPr>
          <w:rFonts w:ascii="FrankRuehl" w:hAnsi="FrankRuehl" w:cs="FrankRuehl"/>
          <w:sz w:val="28"/>
          <w:szCs w:val="28"/>
          <w:rtl/>
        </w:rPr>
        <w:t xml:space="preserve">מודל זה </w:t>
      </w:r>
      <w:r w:rsidRPr="001A0B66">
        <w:rPr>
          <w:rFonts w:ascii="FrankRuehl" w:hAnsi="FrankRuehl" w:cs="FrankRuehl"/>
          <w:sz w:val="28"/>
          <w:szCs w:val="28"/>
          <w:rtl/>
        </w:rPr>
        <w:t>מצוי בשימוש</w:t>
      </w:r>
      <w:r w:rsidR="00A2550B" w:rsidRPr="001A0B66">
        <w:rPr>
          <w:rFonts w:ascii="FrankRuehl" w:hAnsi="FrankRuehl" w:cs="FrankRuehl"/>
          <w:sz w:val="28"/>
          <w:szCs w:val="28"/>
          <w:rtl/>
        </w:rPr>
        <w:t xml:space="preserve"> בין היתר</w:t>
      </w:r>
      <w:r w:rsidRPr="001A0B66">
        <w:rPr>
          <w:rFonts w:ascii="FrankRuehl" w:hAnsi="FrankRuehl" w:cs="FrankRuehl"/>
          <w:sz w:val="28"/>
          <w:szCs w:val="28"/>
          <w:rtl/>
        </w:rPr>
        <w:t xml:space="preserve"> בבריטניה ובקנדה, ואותו מבקש</w:t>
      </w:r>
      <w:r w:rsidR="00FE704B" w:rsidRPr="001A0B66">
        <w:rPr>
          <w:rFonts w:ascii="FrankRuehl" w:hAnsi="FrankRuehl" w:cs="FrankRuehl"/>
          <w:sz w:val="28"/>
          <w:szCs w:val="28"/>
          <w:rtl/>
        </w:rPr>
        <w:t>ים יוזמי</w:t>
      </w:r>
      <w:r w:rsidRPr="001A0B66">
        <w:rPr>
          <w:rFonts w:ascii="FrankRuehl" w:hAnsi="FrankRuehl" w:cs="FrankRuehl"/>
          <w:sz w:val="28"/>
          <w:szCs w:val="28"/>
          <w:rtl/>
        </w:rPr>
        <w:t xml:space="preserve"> הצעת החוק לאמץ. </w:t>
      </w:r>
      <w:r w:rsidR="007B03F2" w:rsidRPr="001A0B66">
        <w:rPr>
          <w:rFonts w:ascii="FrankRuehl" w:hAnsi="FrankRuehl" w:cs="FrankRuehl"/>
          <w:sz w:val="28"/>
          <w:szCs w:val="28"/>
          <w:rtl/>
        </w:rPr>
        <w:t>לפי מודל זה, ל</w:t>
      </w:r>
      <w:r w:rsidR="00A2550B" w:rsidRPr="001A0B66">
        <w:rPr>
          <w:rFonts w:ascii="FrankRuehl" w:hAnsi="FrankRuehl" w:cs="FrankRuehl"/>
          <w:sz w:val="28"/>
          <w:szCs w:val="28"/>
          <w:rtl/>
        </w:rPr>
        <w:t xml:space="preserve">אדם </w:t>
      </w:r>
      <w:r w:rsidR="00FE704B" w:rsidRPr="001A0B66">
        <w:rPr>
          <w:rFonts w:ascii="FrankRuehl" w:hAnsi="FrankRuehl" w:cs="FrankRuehl"/>
          <w:sz w:val="28"/>
          <w:szCs w:val="28"/>
          <w:rtl/>
        </w:rPr>
        <w:t xml:space="preserve">שכלפיו </w:t>
      </w:r>
      <w:r w:rsidR="00A2550B" w:rsidRPr="001A0B66">
        <w:rPr>
          <w:rFonts w:ascii="FrankRuehl" w:hAnsi="FrankRuehl" w:cs="FrankRuehl"/>
          <w:sz w:val="28"/>
          <w:szCs w:val="28"/>
          <w:rtl/>
        </w:rPr>
        <w:t>הופעלה סמכות החירום</w:t>
      </w:r>
      <w:r w:rsidR="00FE704B" w:rsidRPr="001A0B66">
        <w:rPr>
          <w:rFonts w:ascii="FrankRuehl" w:hAnsi="FrankRuehl" w:cs="FrankRuehl"/>
          <w:sz w:val="28"/>
          <w:szCs w:val="28"/>
          <w:rtl/>
        </w:rPr>
        <w:t xml:space="preserve"> ממונה</w:t>
      </w:r>
      <w:r w:rsidR="007B03F2" w:rsidRPr="001A0B66">
        <w:rPr>
          <w:rFonts w:ascii="FrankRuehl" w:hAnsi="FrankRuehl" w:cs="FrankRuehl"/>
          <w:sz w:val="28"/>
          <w:szCs w:val="28"/>
          <w:rtl/>
        </w:rPr>
        <w:t xml:space="preserve"> עורך דין מיוחד בעל סיווג ביטחוני מתאים נוסף על הסנגור המייצג אותו בכל שלבי ההליך. עורך הדין המיוחד מקבל לידיו את המידע החסוי ובוחן אותו, ואז יכול לטעון בפני בית המשפט מטעם העצור, אך ללא נוכחות העצור עצמו ובא כוחו</w:t>
      </w:r>
      <w:r w:rsidR="00FE704B" w:rsidRPr="001A0B66">
        <w:rPr>
          <w:rFonts w:ascii="FrankRuehl" w:hAnsi="FrankRuehl" w:cs="FrankRuehl"/>
          <w:sz w:val="28"/>
          <w:szCs w:val="28"/>
          <w:rtl/>
        </w:rPr>
        <w:t xml:space="preserve"> –</w:t>
      </w:r>
      <w:r w:rsidR="007B03F2" w:rsidRPr="001A0B66">
        <w:rPr>
          <w:rFonts w:ascii="FrankRuehl" w:hAnsi="FrankRuehl" w:cs="FrankRuehl"/>
          <w:sz w:val="28"/>
          <w:szCs w:val="28"/>
          <w:rtl/>
        </w:rPr>
        <w:t xml:space="preserve"> שאינם רשאים להיחשף לראיות החסויות.</w:t>
      </w:r>
      <w:r w:rsidR="0072255B">
        <w:rPr>
          <w:rStyle w:val="FootnoteReference"/>
          <w:rFonts w:ascii="FrankRuehl" w:hAnsi="FrankRuehl"/>
          <w:sz w:val="28"/>
          <w:szCs w:val="28"/>
          <w:rtl/>
        </w:rPr>
        <w:footnoteReference w:id="39"/>
      </w:r>
    </w:p>
    <w:p w14:paraId="5F22B6E8" w14:textId="77777777" w:rsidR="007B0F05" w:rsidRPr="001A0B66" w:rsidRDefault="007B0F05" w:rsidP="00F307FB">
      <w:pPr>
        <w:pStyle w:val="a0"/>
        <w:spacing w:line="276" w:lineRule="auto"/>
        <w:rPr>
          <w:rFonts w:ascii="FrankRuehl" w:hAnsi="FrankRuehl" w:cs="FrankRuehl"/>
          <w:sz w:val="28"/>
          <w:szCs w:val="28"/>
          <w:rtl/>
        </w:rPr>
      </w:pPr>
      <w:bookmarkStart w:id="35" w:name="_Hlk64059397"/>
      <w:r w:rsidRPr="0033204E">
        <w:rPr>
          <w:rFonts w:ascii="FrankRuehl" w:hAnsi="FrankRuehl" w:cs="FrankRuehl"/>
          <w:sz w:val="28"/>
          <w:szCs w:val="28"/>
          <w:rtl/>
        </w:rPr>
        <w:t xml:space="preserve">חלק מהכתיבה הקיימת רואה בשני המודלים הנזכרים </w:t>
      </w:r>
      <w:r w:rsidR="00997116">
        <w:rPr>
          <w:rFonts w:ascii="FrankRuehl" w:hAnsi="FrankRuehl" w:cs="FrankRuehl"/>
          <w:sz w:val="28"/>
          <w:szCs w:val="28"/>
          <w:rtl/>
        </w:rPr>
        <w:t xml:space="preserve">נתיבי בקרה </w:t>
      </w:r>
      <w:r w:rsidRPr="0033204E">
        <w:rPr>
          <w:rFonts w:ascii="FrankRuehl" w:hAnsi="FrankRuehl" w:cs="FrankRuehl"/>
          <w:sz w:val="28"/>
          <w:szCs w:val="28"/>
          <w:rtl/>
        </w:rPr>
        <w:t>חלופי</w:t>
      </w:r>
      <w:r w:rsidR="00997116">
        <w:rPr>
          <w:rFonts w:ascii="FrankRuehl" w:hAnsi="FrankRuehl" w:cs="FrankRuehl"/>
          <w:sz w:val="28"/>
          <w:szCs w:val="28"/>
          <w:rtl/>
        </w:rPr>
        <w:t>ים</w:t>
      </w:r>
      <w:r w:rsidR="00FE704B" w:rsidRPr="0033204E">
        <w:rPr>
          <w:rFonts w:ascii="FrankRuehl" w:hAnsi="FrankRuehl" w:cs="FrankRuehl"/>
          <w:sz w:val="28"/>
          <w:szCs w:val="28"/>
          <w:rtl/>
        </w:rPr>
        <w:t>;</w:t>
      </w:r>
      <w:r w:rsidR="00997116" w:rsidRPr="0033204E">
        <w:rPr>
          <w:rFonts w:ascii="FrankRuehl" w:hAnsi="FrankRuehl" w:cs="FrankRuehl"/>
          <w:sz w:val="28"/>
          <w:szCs w:val="28"/>
          <w:vertAlign w:val="superscript"/>
          <w:rtl/>
        </w:rPr>
        <w:footnoteReference w:id="40"/>
      </w:r>
      <w:r w:rsidR="003C504B" w:rsidRPr="0033204E">
        <w:rPr>
          <w:rFonts w:ascii="FrankRuehl" w:hAnsi="FrankRuehl" w:cs="FrankRuehl"/>
          <w:sz w:val="28"/>
          <w:szCs w:val="28"/>
          <w:rtl/>
        </w:rPr>
        <w:t xml:space="preserve"> אך נראה לנו שמודל הפרקליט המיוחד אינו מוותר </w:t>
      </w:r>
      <w:r w:rsidR="001B7164">
        <w:rPr>
          <w:rFonts w:ascii="FrankRuehl" w:hAnsi="FrankRuehl" w:cs="FrankRuehl"/>
          <w:sz w:val="28"/>
          <w:szCs w:val="28"/>
          <w:rtl/>
        </w:rPr>
        <w:t>על מרכיבים</w:t>
      </w:r>
      <w:r w:rsidR="002B6911">
        <w:rPr>
          <w:rFonts w:ascii="FrankRuehl" w:hAnsi="FrankRuehl" w:cs="FrankRuehl"/>
          <w:sz w:val="28"/>
          <w:szCs w:val="28"/>
          <w:rtl/>
        </w:rPr>
        <w:t xml:space="preserve"> חשובים</w:t>
      </w:r>
      <w:r w:rsidR="001B7164">
        <w:rPr>
          <w:rFonts w:ascii="FrankRuehl" w:hAnsi="FrankRuehl" w:cs="FrankRuehl"/>
          <w:sz w:val="28"/>
          <w:szCs w:val="28"/>
          <w:rtl/>
        </w:rPr>
        <w:t xml:space="preserve"> </w:t>
      </w:r>
      <w:r w:rsidR="003C504B" w:rsidRPr="0033204E">
        <w:rPr>
          <w:rFonts w:ascii="FrankRuehl" w:hAnsi="FrankRuehl" w:cs="FrankRuehl"/>
          <w:sz w:val="28"/>
          <w:szCs w:val="28"/>
          <w:rtl/>
        </w:rPr>
        <w:t>במודל הניהול השיפוטי</w:t>
      </w:r>
      <w:r w:rsidR="004004DD" w:rsidRPr="0033204E">
        <w:rPr>
          <w:rFonts w:ascii="FrankRuehl" w:hAnsi="FrankRuehl" w:cs="FrankRuehl"/>
          <w:sz w:val="28"/>
          <w:szCs w:val="28"/>
          <w:rtl/>
        </w:rPr>
        <w:t>. בשני המודלים מתקיים דיון בחומר החסוי שבו לא משתתפים העצור ובא כוחו</w:t>
      </w:r>
      <w:r w:rsidR="003C504B" w:rsidRPr="0033204E">
        <w:rPr>
          <w:rFonts w:ascii="FrankRuehl" w:hAnsi="FrankRuehl" w:cs="FrankRuehl"/>
          <w:sz w:val="28"/>
          <w:szCs w:val="28"/>
          <w:rtl/>
        </w:rPr>
        <w:t xml:space="preserve"> (הרגיל)</w:t>
      </w:r>
      <w:r w:rsidR="004004DD" w:rsidRPr="0033204E">
        <w:rPr>
          <w:rFonts w:ascii="FrankRuehl" w:hAnsi="FrankRuehl" w:cs="FrankRuehl"/>
          <w:sz w:val="28"/>
          <w:szCs w:val="28"/>
          <w:rtl/>
        </w:rPr>
        <w:t>: במודל הניהול השיפוטי מתקיים הדיון ללא כל ייצוג של העצור</w:t>
      </w:r>
      <w:r w:rsidR="00FE704B" w:rsidRPr="0033204E">
        <w:rPr>
          <w:rFonts w:ascii="FrankRuehl" w:hAnsi="FrankRuehl" w:cs="FrankRuehl"/>
          <w:sz w:val="28"/>
          <w:szCs w:val="28"/>
          <w:rtl/>
        </w:rPr>
        <w:t>,</w:t>
      </w:r>
      <w:r w:rsidR="004004DD" w:rsidRPr="0033204E">
        <w:rPr>
          <w:rFonts w:ascii="FrankRuehl" w:hAnsi="FrankRuehl" w:cs="FrankRuehl"/>
          <w:sz w:val="28"/>
          <w:szCs w:val="28"/>
          <w:rtl/>
        </w:rPr>
        <w:t xml:space="preserve"> </w:t>
      </w:r>
      <w:r w:rsidR="00FE704B" w:rsidRPr="0033204E">
        <w:rPr>
          <w:rFonts w:ascii="FrankRuehl" w:hAnsi="FrankRuehl" w:cs="FrankRuehl"/>
          <w:sz w:val="28"/>
          <w:szCs w:val="28"/>
          <w:rtl/>
        </w:rPr>
        <w:t>ו</w:t>
      </w:r>
      <w:r w:rsidR="004004DD" w:rsidRPr="0033204E">
        <w:rPr>
          <w:rFonts w:ascii="FrankRuehl" w:hAnsi="FrankRuehl" w:cs="FrankRuehl"/>
          <w:sz w:val="28"/>
          <w:szCs w:val="28"/>
          <w:rtl/>
        </w:rPr>
        <w:t>השופט</w:t>
      </w:r>
      <w:r w:rsidR="00961E74">
        <w:rPr>
          <w:rFonts w:ascii="FrankRuehl" w:hAnsi="FrankRuehl" w:cs="FrankRuehl"/>
          <w:sz w:val="28"/>
          <w:szCs w:val="28"/>
          <w:rtl/>
        </w:rPr>
        <w:t xml:space="preserve"> אמור</w:t>
      </w:r>
      <w:r w:rsidR="004004DD" w:rsidRPr="0033204E">
        <w:rPr>
          <w:rFonts w:ascii="FrankRuehl" w:hAnsi="FrankRuehl" w:cs="FrankRuehl"/>
          <w:sz w:val="28"/>
          <w:szCs w:val="28"/>
          <w:rtl/>
        </w:rPr>
        <w:t xml:space="preserve"> לבחון את החומר בחינה יסודית </w:t>
      </w:r>
      <w:r w:rsidR="004004DD" w:rsidRPr="0033204E">
        <w:rPr>
          <w:rFonts w:ascii="FrankRuehl" w:hAnsi="FrankRuehl" w:cs="FrankRuehl"/>
          <w:sz w:val="28"/>
          <w:szCs w:val="28"/>
          <w:rtl/>
        </w:rPr>
        <w:lastRenderedPageBreak/>
        <w:t>ואינק</w:t>
      </w:r>
      <w:r w:rsidR="00FE704B" w:rsidRPr="0033204E">
        <w:rPr>
          <w:rFonts w:ascii="FrankRuehl" w:hAnsi="FrankRuehl" w:cs="FrankRuehl"/>
          <w:sz w:val="28"/>
          <w:szCs w:val="28"/>
          <w:rtl/>
        </w:rPr>
        <w:t>ו</w:t>
      </w:r>
      <w:r w:rsidR="004004DD" w:rsidRPr="0033204E">
        <w:rPr>
          <w:rFonts w:ascii="FrankRuehl" w:hAnsi="FrankRuehl" w:cs="FrankRuehl"/>
          <w:sz w:val="28"/>
          <w:szCs w:val="28"/>
          <w:rtl/>
        </w:rPr>
        <w:t>ויזיטורית, ו</w:t>
      </w:r>
      <w:r w:rsidR="00FE704B" w:rsidRPr="0033204E">
        <w:rPr>
          <w:rFonts w:ascii="FrankRuehl" w:hAnsi="FrankRuehl" w:cs="FrankRuehl"/>
          <w:sz w:val="28"/>
          <w:szCs w:val="28"/>
          <w:rtl/>
        </w:rPr>
        <w:t xml:space="preserve">אילו </w:t>
      </w:r>
      <w:r w:rsidR="004004DD" w:rsidRPr="0033204E">
        <w:rPr>
          <w:rFonts w:ascii="FrankRuehl" w:hAnsi="FrankRuehl" w:cs="FrankRuehl"/>
          <w:sz w:val="28"/>
          <w:szCs w:val="28"/>
          <w:rtl/>
        </w:rPr>
        <w:t xml:space="preserve">במודל הפרקליט המיוחד מתקיים דיון כזה בהשתתפות הפרקליט המיוחד </w:t>
      </w:r>
      <w:r w:rsidR="00C44312" w:rsidRPr="0033204E">
        <w:rPr>
          <w:rFonts w:ascii="FrankRuehl" w:hAnsi="FrankRuehl" w:cs="FrankRuehl"/>
          <w:sz w:val="28"/>
          <w:szCs w:val="28"/>
          <w:rtl/>
        </w:rPr>
        <w:t xml:space="preserve">מטעם האדם, </w:t>
      </w:r>
      <w:r w:rsidR="00961E74">
        <w:rPr>
          <w:rFonts w:ascii="FrankRuehl" w:hAnsi="FrankRuehl" w:cs="FrankRuehl"/>
          <w:sz w:val="28"/>
          <w:szCs w:val="28"/>
          <w:rtl/>
        </w:rPr>
        <w:t>לאחר ש</w:t>
      </w:r>
      <w:r w:rsidR="00C44312" w:rsidRPr="0033204E">
        <w:rPr>
          <w:rFonts w:ascii="FrankRuehl" w:hAnsi="FrankRuehl" w:cs="FrankRuehl"/>
          <w:sz w:val="28"/>
          <w:szCs w:val="28"/>
          <w:rtl/>
        </w:rPr>
        <w:t xml:space="preserve">הוא </w:t>
      </w:r>
      <w:r w:rsidR="004004DD" w:rsidRPr="0033204E">
        <w:rPr>
          <w:rFonts w:ascii="FrankRuehl" w:hAnsi="FrankRuehl" w:cs="FrankRuehl"/>
          <w:sz w:val="28"/>
          <w:szCs w:val="28"/>
          <w:rtl/>
        </w:rPr>
        <w:t xml:space="preserve">נחשף לחומר החסוי. </w:t>
      </w:r>
      <w:r w:rsidR="00C44312" w:rsidRPr="0033204E">
        <w:rPr>
          <w:rFonts w:ascii="FrankRuehl" w:hAnsi="FrankRuehl" w:cs="FrankRuehl"/>
          <w:sz w:val="28"/>
          <w:szCs w:val="28"/>
          <w:rtl/>
        </w:rPr>
        <w:t xml:space="preserve">דיון זה מחדד מחלוקות עובדתיות ופרשניות ולכן הוא </w:t>
      </w:r>
      <w:r w:rsidR="001B7164">
        <w:rPr>
          <w:rFonts w:ascii="FrankRuehl" w:hAnsi="FrankRuehl" w:cs="FrankRuehl"/>
          <w:sz w:val="28"/>
          <w:szCs w:val="28"/>
          <w:rtl/>
        </w:rPr>
        <w:t xml:space="preserve">לכאורה </w:t>
      </w:r>
      <w:r w:rsidR="00C44312" w:rsidRPr="0033204E">
        <w:rPr>
          <w:rFonts w:ascii="FrankRuehl" w:hAnsi="FrankRuehl" w:cs="FrankRuehl"/>
          <w:sz w:val="28"/>
          <w:szCs w:val="28"/>
          <w:rtl/>
        </w:rPr>
        <w:t xml:space="preserve">מחייב </w:t>
      </w:r>
      <w:r w:rsidR="00FE704B" w:rsidRPr="0033204E">
        <w:rPr>
          <w:rFonts w:ascii="FrankRuehl" w:hAnsi="FrankRuehl" w:cs="FrankRuehl"/>
          <w:sz w:val="28"/>
          <w:szCs w:val="28"/>
          <w:rtl/>
        </w:rPr>
        <w:t>את</w:t>
      </w:r>
      <w:r w:rsidR="00C44312" w:rsidRPr="0033204E">
        <w:rPr>
          <w:rFonts w:ascii="FrankRuehl" w:hAnsi="FrankRuehl" w:cs="FrankRuehl"/>
          <w:sz w:val="28"/>
          <w:szCs w:val="28"/>
          <w:rtl/>
        </w:rPr>
        <w:t xml:space="preserve"> השופט </w:t>
      </w:r>
      <w:r w:rsidR="00FE704B" w:rsidRPr="0033204E">
        <w:rPr>
          <w:rFonts w:ascii="FrankRuehl" w:hAnsi="FrankRuehl" w:cs="FrankRuehl"/>
          <w:sz w:val="28"/>
          <w:szCs w:val="28"/>
          <w:rtl/>
        </w:rPr>
        <w:t xml:space="preserve">להיכנס </w:t>
      </w:r>
      <w:r w:rsidR="00C44312" w:rsidRPr="0033204E">
        <w:rPr>
          <w:rFonts w:ascii="FrankRuehl" w:hAnsi="FrankRuehl" w:cs="FrankRuehl"/>
          <w:sz w:val="28"/>
          <w:szCs w:val="28"/>
          <w:rtl/>
        </w:rPr>
        <w:t xml:space="preserve">אל תוך הוויכוח הזה באמצעות עיון בראיות החסויות </w:t>
      </w:r>
      <w:r w:rsidR="00FE704B" w:rsidRPr="0033204E">
        <w:rPr>
          <w:rFonts w:ascii="FrankRuehl" w:hAnsi="FrankRuehl" w:cs="FrankRuehl"/>
          <w:sz w:val="28"/>
          <w:szCs w:val="28"/>
          <w:rtl/>
        </w:rPr>
        <w:t xml:space="preserve">וקבלת </w:t>
      </w:r>
      <w:r w:rsidR="00C44312" w:rsidRPr="0033204E">
        <w:rPr>
          <w:rFonts w:ascii="FrankRuehl" w:hAnsi="FrankRuehl" w:cs="FrankRuehl"/>
          <w:sz w:val="28"/>
          <w:szCs w:val="28"/>
          <w:rtl/>
        </w:rPr>
        <w:t xml:space="preserve">הסברים </w:t>
      </w:r>
      <w:r w:rsidR="004D7F76" w:rsidRPr="0033204E">
        <w:rPr>
          <w:rFonts w:ascii="FrankRuehl" w:hAnsi="FrankRuehl" w:cs="FrankRuehl"/>
          <w:sz w:val="28"/>
          <w:szCs w:val="28"/>
          <w:rtl/>
        </w:rPr>
        <w:t>מהחוקרים</w:t>
      </w:r>
      <w:r w:rsidR="00C44312" w:rsidRPr="0033204E">
        <w:rPr>
          <w:rFonts w:ascii="FrankRuehl" w:hAnsi="FrankRuehl" w:cs="FrankRuehl"/>
          <w:sz w:val="28"/>
          <w:szCs w:val="28"/>
          <w:rtl/>
        </w:rPr>
        <w:t xml:space="preserve">. במילים אחרות, </w:t>
      </w:r>
      <w:r w:rsidR="003F36D4" w:rsidRPr="0033204E">
        <w:rPr>
          <w:rFonts w:ascii="FrankRuehl" w:hAnsi="FrankRuehl" w:cs="FrankRuehl"/>
          <w:sz w:val="28"/>
          <w:szCs w:val="28"/>
          <w:rtl/>
        </w:rPr>
        <w:t>מודל הפרקליט המיוחד עדיף בעינ</w:t>
      </w:r>
      <w:r w:rsidR="004D7F76" w:rsidRPr="0033204E">
        <w:rPr>
          <w:rFonts w:ascii="FrankRuehl" w:hAnsi="FrankRuehl" w:cs="FrankRuehl"/>
          <w:sz w:val="28"/>
          <w:szCs w:val="28"/>
          <w:rtl/>
        </w:rPr>
        <w:t>י</w:t>
      </w:r>
      <w:r w:rsidR="003F36D4" w:rsidRPr="0033204E">
        <w:rPr>
          <w:rFonts w:ascii="FrankRuehl" w:hAnsi="FrankRuehl" w:cs="FrankRuehl"/>
          <w:sz w:val="28"/>
          <w:szCs w:val="28"/>
          <w:rtl/>
        </w:rPr>
        <w:t xml:space="preserve">נו מאחר </w:t>
      </w:r>
      <w:r w:rsidR="00961E74">
        <w:rPr>
          <w:rFonts w:ascii="FrankRuehl" w:hAnsi="FrankRuehl" w:cs="FrankRuehl"/>
          <w:sz w:val="28"/>
          <w:szCs w:val="28"/>
          <w:rtl/>
        </w:rPr>
        <w:t xml:space="preserve">שיש בו שתיים: ראשית, </w:t>
      </w:r>
      <w:r w:rsidR="003F36D4" w:rsidRPr="0033204E">
        <w:rPr>
          <w:rFonts w:ascii="FrankRuehl" w:hAnsi="FrankRuehl" w:cs="FrankRuehl"/>
          <w:sz w:val="28"/>
          <w:szCs w:val="28"/>
          <w:rtl/>
        </w:rPr>
        <w:t xml:space="preserve">הוא </w:t>
      </w:r>
      <w:r w:rsidR="00FE704B" w:rsidRPr="0033204E">
        <w:rPr>
          <w:rFonts w:ascii="FrankRuehl" w:hAnsi="FrankRuehl" w:cs="FrankRuehl"/>
          <w:sz w:val="28"/>
          <w:szCs w:val="28"/>
          <w:rtl/>
        </w:rPr>
        <w:t>מקנה ל</w:t>
      </w:r>
      <w:r w:rsidR="005B1003" w:rsidRPr="0033204E">
        <w:rPr>
          <w:rFonts w:ascii="FrankRuehl" w:hAnsi="FrankRuehl" w:cs="FrankRuehl"/>
          <w:sz w:val="28"/>
          <w:szCs w:val="28"/>
          <w:rtl/>
        </w:rPr>
        <w:t>אדם</w:t>
      </w:r>
      <w:r w:rsidR="00FE704B" w:rsidRPr="0033204E">
        <w:rPr>
          <w:rFonts w:ascii="FrankRuehl" w:hAnsi="FrankRuehl" w:cs="FrankRuehl"/>
          <w:sz w:val="28"/>
          <w:szCs w:val="28"/>
          <w:rtl/>
        </w:rPr>
        <w:t xml:space="preserve"> </w:t>
      </w:r>
      <w:r w:rsidR="003F36D4" w:rsidRPr="0033204E">
        <w:rPr>
          <w:rFonts w:ascii="FrankRuehl" w:hAnsi="FrankRuehl" w:cs="FrankRuehl"/>
          <w:sz w:val="28"/>
          <w:szCs w:val="28"/>
          <w:rtl/>
        </w:rPr>
        <w:t>ייצוג</w:t>
      </w:r>
      <w:r w:rsidR="00FE704B" w:rsidRPr="0033204E">
        <w:rPr>
          <w:rFonts w:ascii="FrankRuehl" w:hAnsi="FrankRuehl" w:cs="FrankRuehl"/>
          <w:sz w:val="28"/>
          <w:szCs w:val="28"/>
          <w:rtl/>
        </w:rPr>
        <w:t>, וזה מאפשר</w:t>
      </w:r>
      <w:r w:rsidR="003F36D4" w:rsidRPr="0033204E">
        <w:rPr>
          <w:rFonts w:ascii="FrankRuehl" w:hAnsi="FrankRuehl" w:cs="FrankRuehl"/>
          <w:sz w:val="28"/>
          <w:szCs w:val="28"/>
          <w:rtl/>
        </w:rPr>
        <w:t xml:space="preserve"> עיון ביקורתי מטעמו בראיות החסויות, חקיר</w:t>
      </w:r>
      <w:r w:rsidR="00FE704B" w:rsidRPr="0033204E">
        <w:rPr>
          <w:rFonts w:ascii="FrankRuehl" w:hAnsi="FrankRuehl" w:cs="FrankRuehl"/>
          <w:sz w:val="28"/>
          <w:szCs w:val="28"/>
          <w:rtl/>
        </w:rPr>
        <w:t>ת החוקרים</w:t>
      </w:r>
      <w:r w:rsidR="003F36D4" w:rsidRPr="0033204E">
        <w:rPr>
          <w:rFonts w:ascii="FrankRuehl" w:hAnsi="FrankRuehl" w:cs="FrankRuehl"/>
          <w:sz w:val="28"/>
          <w:szCs w:val="28"/>
          <w:rtl/>
        </w:rPr>
        <w:t xml:space="preserve"> וטיעון</w:t>
      </w:r>
      <w:r w:rsidR="00DD7EE7" w:rsidRPr="0033204E">
        <w:rPr>
          <w:rFonts w:ascii="FrankRuehl" w:hAnsi="FrankRuehl" w:cs="FrankRuehl"/>
          <w:sz w:val="28"/>
          <w:szCs w:val="28"/>
          <w:rtl/>
        </w:rPr>
        <w:t>; ו</w:t>
      </w:r>
      <w:r w:rsidR="00961E74">
        <w:rPr>
          <w:rFonts w:ascii="FrankRuehl" w:hAnsi="FrankRuehl" w:cs="FrankRuehl"/>
          <w:sz w:val="28"/>
          <w:szCs w:val="28"/>
          <w:rtl/>
        </w:rPr>
        <w:t>שנית,</w:t>
      </w:r>
      <w:r w:rsidR="00E20614" w:rsidRPr="0033204E">
        <w:rPr>
          <w:rFonts w:ascii="FrankRuehl" w:hAnsi="FrankRuehl" w:cs="FrankRuehl"/>
          <w:sz w:val="28"/>
          <w:szCs w:val="28"/>
          <w:rtl/>
        </w:rPr>
        <w:t xml:space="preserve"> יתרונו הנוסף הוא בכך שהוא </w:t>
      </w:r>
      <w:r w:rsidR="004B11F2">
        <w:rPr>
          <w:rFonts w:ascii="FrankRuehl" w:hAnsi="FrankRuehl" w:cs="FrankRuehl"/>
          <w:sz w:val="28"/>
          <w:szCs w:val="28"/>
          <w:rtl/>
        </w:rPr>
        <w:t xml:space="preserve">מחדיר </w:t>
      </w:r>
      <w:r w:rsidR="00E20614" w:rsidRPr="0033204E">
        <w:rPr>
          <w:rFonts w:ascii="FrankRuehl" w:hAnsi="FrankRuehl" w:cs="FrankRuehl"/>
          <w:sz w:val="28"/>
          <w:szCs w:val="28"/>
          <w:rtl/>
        </w:rPr>
        <w:t>חיים א</w:t>
      </w:r>
      <w:r w:rsidR="004B11F2">
        <w:rPr>
          <w:rFonts w:ascii="FrankRuehl" w:hAnsi="FrankRuehl" w:cs="FrankRuehl"/>
          <w:sz w:val="28"/>
          <w:szCs w:val="28"/>
          <w:rtl/>
        </w:rPr>
        <w:t>ל</w:t>
      </w:r>
      <w:r w:rsidR="00E20614" w:rsidRPr="0033204E">
        <w:rPr>
          <w:rFonts w:ascii="FrankRuehl" w:hAnsi="FrankRuehl" w:cs="FrankRuehl"/>
          <w:sz w:val="28"/>
          <w:szCs w:val="28"/>
          <w:rtl/>
        </w:rPr>
        <w:t xml:space="preserve"> המודל האחר – זה של הניהול השיפוטי. </w:t>
      </w:r>
      <w:r w:rsidR="004B11F2">
        <w:rPr>
          <w:rFonts w:ascii="FrankRuehl" w:hAnsi="FrankRuehl" w:cs="FrankRuehl"/>
          <w:sz w:val="28"/>
          <w:szCs w:val="28"/>
          <w:rtl/>
        </w:rPr>
        <w:t xml:space="preserve">מדוע? משום </w:t>
      </w:r>
      <w:r w:rsidR="00817782" w:rsidRPr="0033204E">
        <w:rPr>
          <w:rFonts w:ascii="FrankRuehl" w:hAnsi="FrankRuehl" w:cs="FrankRuehl"/>
          <w:sz w:val="28"/>
          <w:szCs w:val="28"/>
          <w:rtl/>
        </w:rPr>
        <w:t>ש</w:t>
      </w:r>
      <w:r w:rsidR="0063691B" w:rsidRPr="0033204E">
        <w:rPr>
          <w:rFonts w:ascii="FrankRuehl" w:hAnsi="FrankRuehl" w:cs="FrankRuehl"/>
          <w:sz w:val="28"/>
          <w:szCs w:val="28"/>
          <w:rtl/>
        </w:rPr>
        <w:t>בדיון</w:t>
      </w:r>
      <w:r w:rsidR="004D7F76" w:rsidRPr="0033204E">
        <w:rPr>
          <w:rFonts w:ascii="FrankRuehl" w:hAnsi="FrankRuehl" w:cs="FrankRuehl"/>
          <w:sz w:val="28"/>
          <w:szCs w:val="28"/>
          <w:rtl/>
        </w:rPr>
        <w:t xml:space="preserve"> שיתקיים עם הפרקליט המיוחד יחודדו מחלוקות</w:t>
      </w:r>
      <w:r w:rsidR="004B11F2">
        <w:rPr>
          <w:rFonts w:ascii="FrankRuehl" w:hAnsi="FrankRuehl" w:cs="FrankRuehl"/>
          <w:sz w:val="28"/>
          <w:szCs w:val="28"/>
          <w:rtl/>
        </w:rPr>
        <w:t xml:space="preserve">, </w:t>
      </w:r>
      <w:r w:rsidR="007716F5">
        <w:rPr>
          <w:rFonts w:ascii="FrankRuehl" w:hAnsi="FrankRuehl" w:cs="FrankRuehl"/>
          <w:sz w:val="28"/>
          <w:szCs w:val="28"/>
          <w:rtl/>
        </w:rPr>
        <w:t xml:space="preserve">וחידוד זה </w:t>
      </w:r>
      <w:proofErr w:type="spellStart"/>
      <w:r w:rsidR="007716F5">
        <w:rPr>
          <w:rFonts w:ascii="FrankRuehl" w:hAnsi="FrankRuehl" w:cs="FrankRuehl"/>
          <w:sz w:val="28"/>
          <w:szCs w:val="28"/>
          <w:rtl/>
        </w:rPr>
        <w:t>ידחוק</w:t>
      </w:r>
      <w:proofErr w:type="spellEnd"/>
      <w:r w:rsidR="007716F5">
        <w:rPr>
          <w:rFonts w:ascii="FrankRuehl" w:hAnsi="FrankRuehl" w:cs="FrankRuehl"/>
          <w:sz w:val="28"/>
          <w:szCs w:val="28"/>
          <w:rtl/>
        </w:rPr>
        <w:t xml:space="preserve"> ב</w:t>
      </w:r>
      <w:r w:rsidR="0063691B" w:rsidRPr="0033204E">
        <w:rPr>
          <w:rFonts w:ascii="FrankRuehl" w:hAnsi="FrankRuehl" w:cs="FrankRuehl"/>
          <w:sz w:val="28"/>
          <w:szCs w:val="28"/>
          <w:rtl/>
        </w:rPr>
        <w:t xml:space="preserve">שופט </w:t>
      </w:r>
      <w:r w:rsidR="004D7F76" w:rsidRPr="0033204E">
        <w:rPr>
          <w:rFonts w:ascii="FrankRuehl" w:hAnsi="FrankRuehl" w:cs="FrankRuehl"/>
          <w:sz w:val="28"/>
          <w:szCs w:val="28"/>
          <w:rtl/>
        </w:rPr>
        <w:t xml:space="preserve">לעיין </w:t>
      </w:r>
      <w:r w:rsidR="0063691B" w:rsidRPr="0033204E">
        <w:rPr>
          <w:rFonts w:ascii="FrankRuehl" w:hAnsi="FrankRuehl" w:cs="FrankRuehl"/>
          <w:sz w:val="28"/>
          <w:szCs w:val="28"/>
          <w:rtl/>
        </w:rPr>
        <w:t>בחומר החסוי</w:t>
      </w:r>
      <w:r w:rsidR="007716F5">
        <w:rPr>
          <w:rFonts w:ascii="FrankRuehl" w:hAnsi="FrankRuehl" w:cs="FrankRuehl"/>
          <w:sz w:val="28"/>
          <w:szCs w:val="28"/>
          <w:rtl/>
        </w:rPr>
        <w:t>.</w:t>
      </w:r>
      <w:r w:rsidR="00E20614" w:rsidRPr="0033204E">
        <w:rPr>
          <w:rFonts w:ascii="FrankRuehl" w:hAnsi="FrankRuehl" w:cs="FrankRuehl"/>
          <w:sz w:val="28"/>
          <w:szCs w:val="28"/>
          <w:rtl/>
        </w:rPr>
        <w:t xml:space="preserve"> </w:t>
      </w:r>
      <w:bookmarkEnd w:id="35"/>
      <w:r w:rsidR="00961E74">
        <w:rPr>
          <w:rFonts w:ascii="FrankRuehl" w:hAnsi="FrankRuehl" w:cs="FrankRuehl"/>
          <w:sz w:val="28"/>
          <w:szCs w:val="28"/>
          <w:rtl/>
        </w:rPr>
        <w:t xml:space="preserve">בתמצית, </w:t>
      </w:r>
      <w:r w:rsidRPr="0033204E">
        <w:rPr>
          <w:rFonts w:ascii="FrankRuehl" w:hAnsi="FrankRuehl" w:cs="FrankRuehl"/>
          <w:sz w:val="28"/>
          <w:szCs w:val="28"/>
          <w:rtl/>
        </w:rPr>
        <w:t>שילוב</w:t>
      </w:r>
      <w:r w:rsidR="00817782" w:rsidRPr="0033204E">
        <w:rPr>
          <w:rFonts w:ascii="FrankRuehl" w:hAnsi="FrankRuehl" w:cs="FrankRuehl"/>
          <w:sz w:val="28"/>
          <w:szCs w:val="28"/>
          <w:rtl/>
        </w:rPr>
        <w:t xml:space="preserve"> ייצוג </w:t>
      </w:r>
      <w:r w:rsidR="004B11F2">
        <w:rPr>
          <w:rFonts w:ascii="FrankRuehl" w:hAnsi="FrankRuehl" w:cs="FrankRuehl"/>
          <w:sz w:val="28"/>
          <w:szCs w:val="28"/>
          <w:rtl/>
        </w:rPr>
        <w:t>על-ידי</w:t>
      </w:r>
      <w:r w:rsidR="0063691B" w:rsidRPr="0033204E">
        <w:rPr>
          <w:rFonts w:ascii="FrankRuehl" w:hAnsi="FrankRuehl" w:cs="FrankRuehl"/>
          <w:sz w:val="28"/>
          <w:szCs w:val="28"/>
          <w:rtl/>
        </w:rPr>
        <w:t xml:space="preserve"> הפרקליט המיוחד </w:t>
      </w:r>
      <w:r w:rsidR="00817782" w:rsidRPr="0033204E">
        <w:rPr>
          <w:rFonts w:ascii="FrankRuehl" w:hAnsi="FrankRuehl" w:cs="FrankRuehl"/>
          <w:sz w:val="28"/>
          <w:szCs w:val="28"/>
          <w:rtl/>
        </w:rPr>
        <w:t xml:space="preserve">עם </w:t>
      </w:r>
      <w:r w:rsidR="0063691B" w:rsidRPr="0033204E">
        <w:rPr>
          <w:rFonts w:ascii="FrankRuehl" w:hAnsi="FrankRuehl" w:cs="FrankRuehl"/>
          <w:sz w:val="28"/>
          <w:szCs w:val="28"/>
          <w:rtl/>
        </w:rPr>
        <w:t xml:space="preserve">ביקורת שיפוטית </w:t>
      </w:r>
      <w:r w:rsidR="001B7164">
        <w:rPr>
          <w:rFonts w:ascii="FrankRuehl" w:hAnsi="FrankRuehl" w:cs="FrankRuehl"/>
          <w:sz w:val="28"/>
          <w:szCs w:val="28"/>
          <w:rtl/>
        </w:rPr>
        <w:t xml:space="preserve">שנעשית </w:t>
      </w:r>
      <w:r w:rsidR="0063691B" w:rsidRPr="0033204E">
        <w:rPr>
          <w:rFonts w:ascii="FrankRuehl" w:hAnsi="FrankRuehl" w:cs="FrankRuehl"/>
          <w:sz w:val="28"/>
          <w:szCs w:val="28"/>
          <w:rtl/>
        </w:rPr>
        <w:t>הדוקה</w:t>
      </w:r>
      <w:r w:rsidR="001B7164">
        <w:rPr>
          <w:rFonts w:ascii="FrankRuehl" w:hAnsi="FrankRuehl" w:cs="FrankRuehl"/>
          <w:sz w:val="28"/>
          <w:szCs w:val="28"/>
          <w:rtl/>
        </w:rPr>
        <w:t xml:space="preserve"> יותר בגללו,</w:t>
      </w:r>
      <w:r w:rsidRPr="0033204E">
        <w:rPr>
          <w:rFonts w:ascii="FrankRuehl" w:hAnsi="FrankRuehl" w:cs="FrankRuehl"/>
          <w:sz w:val="28"/>
          <w:szCs w:val="28"/>
          <w:rtl/>
        </w:rPr>
        <w:t xml:space="preserve"> </w:t>
      </w:r>
      <w:r w:rsidR="00817782" w:rsidRPr="0033204E">
        <w:rPr>
          <w:rFonts w:ascii="FrankRuehl" w:hAnsi="FrankRuehl" w:cs="FrankRuehl"/>
          <w:sz w:val="28"/>
          <w:szCs w:val="28"/>
          <w:rtl/>
        </w:rPr>
        <w:t xml:space="preserve">יניב </w:t>
      </w:r>
      <w:r w:rsidRPr="0033204E">
        <w:rPr>
          <w:rFonts w:ascii="FrankRuehl" w:hAnsi="FrankRuehl" w:cs="FrankRuehl"/>
          <w:sz w:val="28"/>
          <w:szCs w:val="28"/>
          <w:rtl/>
        </w:rPr>
        <w:t xml:space="preserve">התקדמות בדרך להגבלה </w:t>
      </w:r>
      <w:r w:rsidR="00BA21FC" w:rsidRPr="0033204E">
        <w:rPr>
          <w:rFonts w:ascii="FrankRuehl" w:hAnsi="FrankRuehl" w:cs="FrankRuehl"/>
          <w:sz w:val="28"/>
          <w:szCs w:val="28"/>
          <w:rtl/>
        </w:rPr>
        <w:t xml:space="preserve">ולבקרה </w:t>
      </w:r>
      <w:r w:rsidR="00B5358B" w:rsidRPr="0033204E">
        <w:rPr>
          <w:rFonts w:ascii="FrankRuehl" w:hAnsi="FrankRuehl" w:cs="FrankRuehl"/>
          <w:sz w:val="28"/>
          <w:szCs w:val="28"/>
          <w:rtl/>
        </w:rPr>
        <w:t>ממשית</w:t>
      </w:r>
      <w:r w:rsidR="00817782" w:rsidRPr="0033204E">
        <w:rPr>
          <w:rFonts w:ascii="FrankRuehl" w:hAnsi="FrankRuehl" w:cs="FrankRuehl"/>
          <w:sz w:val="28"/>
          <w:szCs w:val="28"/>
          <w:rtl/>
        </w:rPr>
        <w:t xml:space="preserve"> </w:t>
      </w:r>
      <w:r w:rsidR="004D7F76" w:rsidRPr="0033204E">
        <w:rPr>
          <w:rFonts w:ascii="FrankRuehl" w:hAnsi="FrankRuehl" w:cs="FrankRuehl"/>
          <w:sz w:val="28"/>
          <w:szCs w:val="28"/>
          <w:rtl/>
        </w:rPr>
        <w:t>ע</w:t>
      </w:r>
      <w:r w:rsidRPr="0033204E">
        <w:rPr>
          <w:rFonts w:ascii="FrankRuehl" w:hAnsi="FrankRuehl" w:cs="FrankRuehl"/>
          <w:sz w:val="28"/>
          <w:szCs w:val="28"/>
          <w:rtl/>
        </w:rPr>
        <w:t>ל השימוש בראיות חסויות</w:t>
      </w:r>
      <w:r w:rsidR="0063691B" w:rsidRPr="0033204E">
        <w:rPr>
          <w:rFonts w:ascii="FrankRuehl" w:hAnsi="FrankRuehl" w:cs="FrankRuehl"/>
          <w:sz w:val="28"/>
          <w:szCs w:val="28"/>
          <w:rtl/>
        </w:rPr>
        <w:t>.</w:t>
      </w:r>
    </w:p>
    <w:p w14:paraId="51CFBA9F" w14:textId="77777777" w:rsidR="006F73B3" w:rsidRPr="001A0B66" w:rsidRDefault="006F73B3" w:rsidP="00F307FB">
      <w:pPr>
        <w:pStyle w:val="Heading1"/>
        <w:spacing w:line="276" w:lineRule="auto"/>
        <w:rPr>
          <w:rFonts w:ascii="FrankRuehl" w:hAnsi="FrankRuehl" w:cs="FrankRuehl"/>
        </w:rPr>
      </w:pPr>
      <w:bookmarkStart w:id="36" w:name="_Toc52981439"/>
      <w:bookmarkStart w:id="37" w:name="_Toc52984558"/>
      <w:bookmarkStart w:id="38" w:name="_Toc53124424"/>
      <w:bookmarkStart w:id="39" w:name="_Toc53143375"/>
      <w:r w:rsidRPr="001A0B66">
        <w:rPr>
          <w:rFonts w:ascii="FrankRuehl" w:hAnsi="FrankRuehl" w:cs="FrankRuehl"/>
          <w:rtl/>
        </w:rPr>
        <w:t>הצעת חוק עורכי דין מיוחדים</w:t>
      </w:r>
      <w:r w:rsidR="00B150EB" w:rsidRPr="001A0B66">
        <w:rPr>
          <w:rFonts w:ascii="FrankRuehl" w:hAnsi="FrankRuehl" w:cs="FrankRuehl"/>
          <w:rtl/>
        </w:rPr>
        <w:t xml:space="preserve">, </w:t>
      </w:r>
      <w:proofErr w:type="spellStart"/>
      <w:r w:rsidR="00B150EB" w:rsidRPr="001A0B66">
        <w:rPr>
          <w:rFonts w:ascii="FrankRuehl" w:hAnsi="FrankRuehl" w:cs="FrankRuehl"/>
          <w:rtl/>
        </w:rPr>
        <w:t>התשע"ז</w:t>
      </w:r>
      <w:proofErr w:type="spellEnd"/>
      <w:r w:rsidR="00294B8F" w:rsidRPr="001A0B66">
        <w:rPr>
          <w:rFonts w:ascii="FrankRuehl" w:hAnsi="FrankRuehl" w:cs="FrankRuehl"/>
          <w:rtl/>
        </w:rPr>
        <w:t>–</w:t>
      </w:r>
      <w:r w:rsidR="00B150EB" w:rsidRPr="001A0B66">
        <w:rPr>
          <w:rFonts w:ascii="FrankRuehl" w:hAnsi="FrankRuehl" w:cs="FrankRuehl"/>
          <w:rtl/>
        </w:rPr>
        <w:t>2017</w:t>
      </w:r>
      <w:bookmarkEnd w:id="36"/>
      <w:bookmarkEnd w:id="37"/>
      <w:bookmarkEnd w:id="38"/>
      <w:bookmarkEnd w:id="39"/>
      <w:r w:rsidRPr="001A0B66">
        <w:rPr>
          <w:rFonts w:ascii="FrankRuehl" w:hAnsi="FrankRuehl" w:cs="FrankRuehl"/>
          <w:rtl/>
        </w:rPr>
        <w:t xml:space="preserve"> </w:t>
      </w:r>
    </w:p>
    <w:p w14:paraId="29374586" w14:textId="77777777" w:rsidR="00B150EB" w:rsidRPr="001A0B66" w:rsidRDefault="00412F72"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הצעת </w:t>
      </w:r>
      <w:r w:rsidR="00870AA2" w:rsidRPr="001A0B66">
        <w:rPr>
          <w:rFonts w:ascii="FrankRuehl" w:hAnsi="FrankRuehl" w:cs="FrankRuehl"/>
          <w:sz w:val="28"/>
          <w:szCs w:val="28"/>
          <w:rtl/>
        </w:rPr>
        <w:t>ה</w:t>
      </w:r>
      <w:r w:rsidRPr="001A0B66">
        <w:rPr>
          <w:rFonts w:ascii="FrankRuehl" w:hAnsi="FrankRuehl" w:cs="FrankRuehl"/>
          <w:sz w:val="28"/>
          <w:szCs w:val="28"/>
          <w:rtl/>
        </w:rPr>
        <w:t>חוק</w:t>
      </w:r>
      <w:r w:rsidR="00870AA2" w:rsidRPr="001A0B66">
        <w:rPr>
          <w:rFonts w:ascii="FrankRuehl" w:hAnsi="FrankRuehl" w:cs="FrankRuehl"/>
          <w:sz w:val="28"/>
          <w:szCs w:val="28"/>
          <w:rtl/>
        </w:rPr>
        <w:t xml:space="preserve"> </w:t>
      </w:r>
      <w:r w:rsidR="0098781E" w:rsidRPr="001A0B66">
        <w:rPr>
          <w:rFonts w:ascii="FrankRuehl" w:hAnsi="FrankRuehl" w:cs="FrankRuehl"/>
          <w:sz w:val="28"/>
          <w:szCs w:val="28"/>
          <w:rtl/>
        </w:rPr>
        <w:t xml:space="preserve">שהגישו חברי הכנסת </w:t>
      </w:r>
      <w:proofErr w:type="spellStart"/>
      <w:r w:rsidR="0098781E" w:rsidRPr="001A0B66">
        <w:rPr>
          <w:rFonts w:ascii="FrankRuehl" w:hAnsi="FrankRuehl" w:cs="FrankRuehl"/>
          <w:sz w:val="28"/>
          <w:szCs w:val="28"/>
          <w:rtl/>
        </w:rPr>
        <w:t>סמוטריץ</w:t>
      </w:r>
      <w:proofErr w:type="spellEnd"/>
      <w:r w:rsidR="0098781E" w:rsidRPr="001A0B66">
        <w:rPr>
          <w:rFonts w:ascii="FrankRuehl" w:hAnsi="FrankRuehl" w:cs="FrankRuehl"/>
          <w:sz w:val="28"/>
          <w:szCs w:val="28"/>
          <w:rtl/>
        </w:rPr>
        <w:t xml:space="preserve">', </w:t>
      </w:r>
      <w:proofErr w:type="spellStart"/>
      <w:r w:rsidR="0098781E" w:rsidRPr="001A0B66">
        <w:rPr>
          <w:rFonts w:ascii="FrankRuehl" w:hAnsi="FrankRuehl" w:cs="FrankRuehl"/>
          <w:sz w:val="28"/>
          <w:szCs w:val="28"/>
          <w:rtl/>
        </w:rPr>
        <w:t>דיכטר</w:t>
      </w:r>
      <w:proofErr w:type="spellEnd"/>
      <w:r w:rsidR="0098781E" w:rsidRPr="001A0B66">
        <w:rPr>
          <w:rFonts w:ascii="FrankRuehl" w:hAnsi="FrankRuehl" w:cs="FrankRuehl"/>
          <w:sz w:val="28"/>
          <w:szCs w:val="28"/>
          <w:rtl/>
        </w:rPr>
        <w:t xml:space="preserve">, פרי </w:t>
      </w:r>
      <w:proofErr w:type="spellStart"/>
      <w:r w:rsidR="0098781E" w:rsidRPr="001A0B66">
        <w:rPr>
          <w:rFonts w:ascii="FrankRuehl" w:hAnsi="FrankRuehl" w:cs="FrankRuehl"/>
          <w:sz w:val="28"/>
          <w:szCs w:val="28"/>
          <w:rtl/>
        </w:rPr>
        <w:t>ורוזין</w:t>
      </w:r>
      <w:proofErr w:type="spellEnd"/>
      <w:r w:rsidR="0098781E" w:rsidRPr="001A0B66">
        <w:rPr>
          <w:rFonts w:ascii="FrankRuehl" w:hAnsi="FrankRuehl" w:cs="FrankRuehl"/>
          <w:sz w:val="28"/>
          <w:szCs w:val="28"/>
          <w:rtl/>
        </w:rPr>
        <w:t xml:space="preserve"> </w:t>
      </w:r>
      <w:r w:rsidR="00555988" w:rsidRPr="001A0B66">
        <w:rPr>
          <w:rFonts w:ascii="FrankRuehl" w:hAnsi="FrankRuehl" w:cs="FrankRuehl"/>
          <w:sz w:val="28"/>
          <w:szCs w:val="28"/>
          <w:rtl/>
        </w:rPr>
        <w:t xml:space="preserve">מבקשת </w:t>
      </w:r>
      <w:r w:rsidR="00077E70" w:rsidRPr="001A0B66">
        <w:rPr>
          <w:rFonts w:ascii="FrankRuehl" w:hAnsi="FrankRuehl" w:cs="FrankRuehl"/>
          <w:sz w:val="28"/>
          <w:szCs w:val="28"/>
          <w:rtl/>
        </w:rPr>
        <w:t xml:space="preserve">לשפר את </w:t>
      </w:r>
      <w:r w:rsidR="006179D8" w:rsidRPr="001A0B66">
        <w:rPr>
          <w:rFonts w:ascii="FrankRuehl" w:hAnsi="FrankRuehl" w:cs="FrankRuehl"/>
          <w:sz w:val="28"/>
          <w:szCs w:val="28"/>
          <w:rtl/>
        </w:rPr>
        <w:t>מצב הדברים</w:t>
      </w:r>
      <w:r w:rsidR="00006F01" w:rsidRPr="001A0B66">
        <w:rPr>
          <w:rFonts w:ascii="FrankRuehl" w:hAnsi="FrankRuehl" w:cs="FrankRuehl"/>
          <w:sz w:val="28"/>
          <w:szCs w:val="28"/>
          <w:rtl/>
        </w:rPr>
        <w:t xml:space="preserve"> </w:t>
      </w:r>
      <w:r w:rsidR="000A3E5F">
        <w:rPr>
          <w:rFonts w:ascii="FrankRuehl" w:hAnsi="FrankRuehl" w:cs="FrankRuehl"/>
          <w:sz w:val="28"/>
          <w:szCs w:val="28"/>
          <w:rtl/>
        </w:rPr>
        <w:t>הקיים בתחום הראיות החסויות</w:t>
      </w:r>
      <w:r w:rsidR="00B5358B" w:rsidRPr="001A0B66">
        <w:rPr>
          <w:rFonts w:ascii="FrankRuehl" w:hAnsi="FrankRuehl" w:cs="FrankRuehl"/>
          <w:sz w:val="28"/>
          <w:szCs w:val="28"/>
          <w:rtl/>
        </w:rPr>
        <w:t xml:space="preserve"> </w:t>
      </w:r>
      <w:r w:rsidR="00555988" w:rsidRPr="001A0B66">
        <w:rPr>
          <w:rFonts w:ascii="FrankRuehl" w:hAnsi="FrankRuehl" w:cs="FrankRuehl"/>
          <w:sz w:val="28"/>
          <w:szCs w:val="28"/>
          <w:rtl/>
        </w:rPr>
        <w:t>בדרך של יצירת פונקציה של "עורכי דין מיוחדים"</w:t>
      </w:r>
      <w:r w:rsidR="000E46DC" w:rsidRPr="001A0B66">
        <w:rPr>
          <w:rFonts w:ascii="FrankRuehl" w:hAnsi="FrankRuehl" w:cs="FrankRuehl"/>
          <w:sz w:val="28"/>
          <w:szCs w:val="28"/>
          <w:rtl/>
        </w:rPr>
        <w:t xml:space="preserve">, </w:t>
      </w:r>
      <w:r w:rsidR="002615B0" w:rsidRPr="001A0B66">
        <w:rPr>
          <w:rFonts w:ascii="FrankRuehl" w:hAnsi="FrankRuehl" w:cs="FrankRuehl"/>
          <w:sz w:val="28"/>
          <w:szCs w:val="28"/>
          <w:rtl/>
        </w:rPr>
        <w:t>הפועלים לצ</w:t>
      </w:r>
      <w:r w:rsidR="00817782" w:rsidRPr="001A0B66">
        <w:rPr>
          <w:rFonts w:ascii="FrankRuehl" w:hAnsi="FrankRuehl" w:cs="FrankRuehl"/>
          <w:sz w:val="28"/>
          <w:szCs w:val="28"/>
          <w:rtl/>
        </w:rPr>
        <w:t>י</w:t>
      </w:r>
      <w:r w:rsidR="002615B0" w:rsidRPr="001A0B66">
        <w:rPr>
          <w:rFonts w:ascii="FrankRuehl" w:hAnsi="FrankRuehl" w:cs="FrankRuehl"/>
          <w:sz w:val="28"/>
          <w:szCs w:val="28"/>
          <w:rtl/>
        </w:rPr>
        <w:t xml:space="preserve">דו של </w:t>
      </w:r>
      <w:r w:rsidR="00006F01" w:rsidRPr="001A0B66">
        <w:rPr>
          <w:rFonts w:ascii="FrankRuehl" w:hAnsi="FrankRuehl" w:cs="FrankRuehl"/>
          <w:sz w:val="28"/>
          <w:szCs w:val="28"/>
          <w:rtl/>
        </w:rPr>
        <w:t xml:space="preserve">האדם שנגדו מופעלות סמכויות הנשענות על ראיות חסויות. </w:t>
      </w:r>
      <w:r w:rsidR="002615B0" w:rsidRPr="001A0B66">
        <w:rPr>
          <w:rFonts w:ascii="FrankRuehl" w:hAnsi="FrankRuehl" w:cs="FrankRuehl"/>
          <w:sz w:val="28"/>
          <w:szCs w:val="28"/>
          <w:rtl/>
        </w:rPr>
        <w:t xml:space="preserve">כיוון דברים זה </w:t>
      </w:r>
      <w:r w:rsidR="00817782" w:rsidRPr="001A0B66">
        <w:rPr>
          <w:rFonts w:ascii="FrankRuehl" w:hAnsi="FrankRuehl" w:cs="FrankRuehl"/>
          <w:sz w:val="28"/>
          <w:szCs w:val="28"/>
          <w:rtl/>
        </w:rPr>
        <w:t xml:space="preserve">נדון </w:t>
      </w:r>
      <w:r w:rsidR="002615B0" w:rsidRPr="001A0B66">
        <w:rPr>
          <w:rFonts w:ascii="FrankRuehl" w:hAnsi="FrankRuehl" w:cs="FrankRuehl"/>
          <w:sz w:val="28"/>
          <w:szCs w:val="28"/>
          <w:rtl/>
        </w:rPr>
        <w:t xml:space="preserve">בשיח המשפטי הישראלי לראשונה </w:t>
      </w:r>
      <w:r w:rsidR="00817782" w:rsidRPr="001A0B66">
        <w:rPr>
          <w:rFonts w:ascii="FrankRuehl" w:hAnsi="FrankRuehl" w:cs="FrankRuehl"/>
          <w:sz w:val="28"/>
          <w:szCs w:val="28"/>
          <w:rtl/>
        </w:rPr>
        <w:t>ביוזמת</w:t>
      </w:r>
      <w:r w:rsidR="002615B0" w:rsidRPr="001A0B66">
        <w:rPr>
          <w:rFonts w:ascii="FrankRuehl" w:hAnsi="FrankRuehl" w:cs="FrankRuehl"/>
          <w:sz w:val="28"/>
          <w:szCs w:val="28"/>
          <w:rtl/>
        </w:rPr>
        <w:t xml:space="preserve"> פרופ' יצחק זמיר.</w:t>
      </w:r>
      <w:r w:rsidR="002615B0" w:rsidRPr="001A0B66">
        <w:rPr>
          <w:rFonts w:ascii="FrankRuehl" w:hAnsi="FrankRuehl" w:cs="FrankRuehl"/>
          <w:sz w:val="28"/>
          <w:szCs w:val="28"/>
          <w:vertAlign w:val="superscript"/>
          <w:rtl/>
        </w:rPr>
        <w:footnoteReference w:id="41"/>
      </w:r>
      <w:r w:rsidR="002615B0" w:rsidRPr="001A0B66">
        <w:rPr>
          <w:rFonts w:ascii="FrankRuehl" w:hAnsi="FrankRuehl" w:cs="FrankRuehl"/>
          <w:sz w:val="28"/>
          <w:szCs w:val="28"/>
          <w:rtl/>
        </w:rPr>
        <w:t xml:space="preserve"> עורכי הדין המיוחדים </w:t>
      </w:r>
      <w:r w:rsidR="00A90308" w:rsidRPr="001A0B66">
        <w:rPr>
          <w:rFonts w:ascii="FrankRuehl" w:hAnsi="FrankRuehl" w:cs="FrankRuehl"/>
          <w:sz w:val="28"/>
          <w:szCs w:val="28"/>
          <w:rtl/>
        </w:rPr>
        <w:t>נוס</w:t>
      </w:r>
      <w:r w:rsidR="00817782" w:rsidRPr="001A0B66">
        <w:rPr>
          <w:rFonts w:ascii="FrankRuehl" w:hAnsi="FrankRuehl" w:cs="FrankRuehl"/>
          <w:sz w:val="28"/>
          <w:szCs w:val="28"/>
          <w:rtl/>
        </w:rPr>
        <w:t>פים</w:t>
      </w:r>
      <w:r w:rsidR="00A90308" w:rsidRPr="001A0B66">
        <w:rPr>
          <w:rFonts w:ascii="FrankRuehl" w:hAnsi="FrankRuehl" w:cs="FrankRuehl"/>
          <w:sz w:val="28"/>
          <w:szCs w:val="28"/>
          <w:rtl/>
        </w:rPr>
        <w:t xml:space="preserve"> על עורך הדין המייצג את העצור או העצורה בכל שלבי ההליך הגלויים ("עור</w:t>
      </w:r>
      <w:r w:rsidR="00DC6110" w:rsidRPr="001A0B66">
        <w:rPr>
          <w:rFonts w:ascii="FrankRuehl" w:hAnsi="FrankRuehl" w:cs="FrankRuehl"/>
          <w:sz w:val="28"/>
          <w:szCs w:val="28"/>
          <w:rtl/>
        </w:rPr>
        <w:t>ך הדין הרגיל</w:t>
      </w:r>
      <w:r w:rsidR="00A90308" w:rsidRPr="001A0B66">
        <w:rPr>
          <w:rFonts w:ascii="FrankRuehl" w:hAnsi="FrankRuehl" w:cs="FrankRuehl"/>
          <w:sz w:val="28"/>
          <w:szCs w:val="28"/>
          <w:rtl/>
        </w:rPr>
        <w:t>").</w:t>
      </w:r>
      <w:r w:rsidR="00B41EDC" w:rsidRPr="001A0B66">
        <w:rPr>
          <w:rStyle w:val="FootnoteReference"/>
          <w:rFonts w:ascii="FrankRuehl" w:hAnsi="FrankRuehl" w:cs="FrankRuehl"/>
          <w:sz w:val="28"/>
          <w:szCs w:val="28"/>
          <w:rtl/>
        </w:rPr>
        <w:footnoteReference w:id="42"/>
      </w:r>
      <w:r w:rsidR="00A90308" w:rsidRPr="001A0B66">
        <w:rPr>
          <w:rFonts w:ascii="FrankRuehl" w:hAnsi="FrankRuehl" w:cs="FrankRuehl"/>
          <w:sz w:val="28"/>
          <w:szCs w:val="28"/>
          <w:rtl/>
        </w:rPr>
        <w:t xml:space="preserve"> </w:t>
      </w:r>
      <w:r w:rsidR="002615B0" w:rsidRPr="001A0B66">
        <w:rPr>
          <w:rFonts w:ascii="FrankRuehl" w:hAnsi="FrankRuehl" w:cs="FrankRuehl"/>
          <w:sz w:val="28"/>
          <w:szCs w:val="28"/>
          <w:rtl/>
        </w:rPr>
        <w:t xml:space="preserve">הם </w:t>
      </w:r>
      <w:r w:rsidR="00A90308" w:rsidRPr="001A0B66">
        <w:rPr>
          <w:rFonts w:ascii="FrankRuehl" w:hAnsi="FrankRuehl" w:cs="FrankRuehl"/>
          <w:sz w:val="28"/>
          <w:szCs w:val="28"/>
          <w:rtl/>
        </w:rPr>
        <w:t>נחשפים לחומר החסוי בהליך ו</w:t>
      </w:r>
      <w:r w:rsidR="00817782" w:rsidRPr="001A0B66">
        <w:rPr>
          <w:rFonts w:ascii="FrankRuehl" w:hAnsi="FrankRuehl" w:cs="FrankRuehl"/>
          <w:sz w:val="28"/>
          <w:szCs w:val="28"/>
          <w:rtl/>
        </w:rPr>
        <w:t>יש ל</w:t>
      </w:r>
      <w:r w:rsidR="00A12B37" w:rsidRPr="001A0B66">
        <w:rPr>
          <w:rFonts w:ascii="FrankRuehl" w:hAnsi="FrankRuehl" w:cs="FrankRuehl"/>
          <w:sz w:val="28"/>
          <w:szCs w:val="28"/>
          <w:rtl/>
        </w:rPr>
        <w:t xml:space="preserve">הם </w:t>
      </w:r>
      <w:r w:rsidR="000E46DC" w:rsidRPr="001A0B66">
        <w:rPr>
          <w:rFonts w:ascii="FrankRuehl" w:hAnsi="FrankRuehl" w:cs="FrankRuehl"/>
          <w:sz w:val="28"/>
          <w:szCs w:val="28"/>
          <w:rtl/>
        </w:rPr>
        <w:t>תפקיד כפול</w:t>
      </w:r>
      <w:r w:rsidR="00A90308" w:rsidRPr="001A0B66">
        <w:rPr>
          <w:rFonts w:ascii="FrankRuehl" w:hAnsi="FrankRuehl" w:cs="FrankRuehl"/>
          <w:sz w:val="28"/>
          <w:szCs w:val="28"/>
          <w:rtl/>
        </w:rPr>
        <w:t xml:space="preserve"> ביחס אליו</w:t>
      </w:r>
      <w:r w:rsidR="000E46DC" w:rsidRPr="001A0B66">
        <w:rPr>
          <w:rFonts w:ascii="FrankRuehl" w:hAnsi="FrankRuehl" w:cs="FrankRuehl"/>
          <w:sz w:val="28"/>
          <w:szCs w:val="28"/>
          <w:rtl/>
        </w:rPr>
        <w:t xml:space="preserve">: א. </w:t>
      </w:r>
      <w:r w:rsidR="00006F01" w:rsidRPr="001A0B66">
        <w:rPr>
          <w:rFonts w:ascii="FrankRuehl" w:hAnsi="FrankRuehl" w:cs="FrankRuehl"/>
          <w:sz w:val="28"/>
          <w:szCs w:val="28"/>
          <w:rtl/>
        </w:rPr>
        <w:t xml:space="preserve">הם אמורים לפעול </w:t>
      </w:r>
      <w:r w:rsidR="000E46DC" w:rsidRPr="001A0B66">
        <w:rPr>
          <w:rFonts w:ascii="FrankRuehl" w:hAnsi="FrankRuehl" w:cs="FrankRuehl"/>
          <w:sz w:val="28"/>
          <w:szCs w:val="28"/>
          <w:rtl/>
        </w:rPr>
        <w:t>לחשיפה מרבית של טענות וראיות מתוך החומר החסוי</w:t>
      </w:r>
      <w:r w:rsidR="00817782" w:rsidRPr="001A0B66">
        <w:rPr>
          <w:rFonts w:ascii="FrankRuehl" w:hAnsi="FrankRuehl" w:cs="FrankRuehl"/>
          <w:sz w:val="28"/>
          <w:szCs w:val="28"/>
          <w:rtl/>
        </w:rPr>
        <w:t>,</w:t>
      </w:r>
      <w:r w:rsidR="002615B0" w:rsidRPr="001A0B66">
        <w:rPr>
          <w:rFonts w:ascii="FrankRuehl" w:hAnsi="FrankRuehl" w:cs="FrankRuehl"/>
          <w:sz w:val="28"/>
          <w:szCs w:val="28"/>
          <w:rtl/>
        </w:rPr>
        <w:t xml:space="preserve"> כדי לאפשר </w:t>
      </w:r>
      <w:r w:rsidR="00817782" w:rsidRPr="001A0B66">
        <w:rPr>
          <w:rFonts w:ascii="FrankRuehl" w:hAnsi="FrankRuehl" w:cs="FrankRuehl"/>
          <w:sz w:val="28"/>
          <w:szCs w:val="28"/>
          <w:rtl/>
        </w:rPr>
        <w:t>ל</w:t>
      </w:r>
      <w:r w:rsidR="002615B0" w:rsidRPr="001A0B66">
        <w:rPr>
          <w:rFonts w:ascii="FrankRuehl" w:hAnsi="FrankRuehl" w:cs="FrankRuehl"/>
          <w:sz w:val="28"/>
          <w:szCs w:val="28"/>
          <w:rtl/>
        </w:rPr>
        <w:t>אדם</w:t>
      </w:r>
      <w:r w:rsidR="00817782" w:rsidRPr="001A0B66">
        <w:rPr>
          <w:rFonts w:ascii="FrankRuehl" w:hAnsi="FrankRuehl" w:cs="FrankRuehl"/>
          <w:sz w:val="28"/>
          <w:szCs w:val="28"/>
          <w:rtl/>
        </w:rPr>
        <w:t xml:space="preserve"> להתייחס</w:t>
      </w:r>
      <w:r w:rsidR="002615B0" w:rsidRPr="001A0B66">
        <w:rPr>
          <w:rFonts w:ascii="FrankRuehl" w:hAnsi="FrankRuehl" w:cs="FrankRuehl"/>
          <w:sz w:val="28"/>
          <w:szCs w:val="28"/>
          <w:rtl/>
        </w:rPr>
        <w:t xml:space="preserve"> לטענות ולראיות הנחשפות</w:t>
      </w:r>
      <w:r w:rsidR="000E46DC" w:rsidRPr="001A0B66">
        <w:rPr>
          <w:rFonts w:ascii="FrankRuehl" w:hAnsi="FrankRuehl" w:cs="FrankRuehl"/>
          <w:sz w:val="28"/>
          <w:szCs w:val="28"/>
          <w:rtl/>
        </w:rPr>
        <w:t xml:space="preserve">; ב. </w:t>
      </w:r>
      <w:r w:rsidR="002615B0" w:rsidRPr="001A0B66">
        <w:rPr>
          <w:rFonts w:ascii="FrankRuehl" w:hAnsi="FrankRuehl" w:cs="FrankRuehl"/>
          <w:sz w:val="28"/>
          <w:szCs w:val="28"/>
          <w:rtl/>
        </w:rPr>
        <w:t xml:space="preserve">הם </w:t>
      </w:r>
      <w:r w:rsidR="00006F01" w:rsidRPr="001A0B66">
        <w:rPr>
          <w:rFonts w:ascii="FrankRuehl" w:hAnsi="FrankRuehl" w:cs="FrankRuehl"/>
          <w:sz w:val="28"/>
          <w:szCs w:val="28"/>
          <w:rtl/>
        </w:rPr>
        <w:t xml:space="preserve">אמורים </w:t>
      </w:r>
      <w:r w:rsidR="000E46DC" w:rsidRPr="001A0B66">
        <w:rPr>
          <w:rFonts w:ascii="FrankRuehl" w:hAnsi="FrankRuehl" w:cs="FrankRuehl"/>
          <w:sz w:val="28"/>
          <w:szCs w:val="28"/>
          <w:rtl/>
        </w:rPr>
        <w:t xml:space="preserve">לספק לאדם </w:t>
      </w:r>
      <w:r w:rsidR="00817782" w:rsidRPr="001A0B66">
        <w:rPr>
          <w:rFonts w:ascii="FrankRuehl" w:hAnsi="FrankRuehl" w:cs="FrankRuehl"/>
          <w:sz w:val="28"/>
          <w:szCs w:val="28"/>
          <w:rtl/>
        </w:rPr>
        <w:t>שהם מייצגים</w:t>
      </w:r>
      <w:r w:rsidR="00006F01" w:rsidRPr="001A0B66">
        <w:rPr>
          <w:rFonts w:ascii="FrankRuehl" w:hAnsi="FrankRuehl" w:cs="FrankRuehl"/>
          <w:sz w:val="28"/>
          <w:szCs w:val="28"/>
          <w:rtl/>
        </w:rPr>
        <w:t xml:space="preserve"> </w:t>
      </w:r>
      <w:r w:rsidR="000E46DC" w:rsidRPr="001A0B66">
        <w:rPr>
          <w:rFonts w:ascii="FrankRuehl" w:hAnsi="FrankRuehl" w:cs="FrankRuehl"/>
          <w:sz w:val="28"/>
          <w:szCs w:val="28"/>
          <w:rtl/>
        </w:rPr>
        <w:t xml:space="preserve">את ההגנה המשפטית המרבית </w:t>
      </w:r>
      <w:r w:rsidR="002615B0" w:rsidRPr="001A0B66">
        <w:rPr>
          <w:rFonts w:ascii="FrankRuehl" w:hAnsi="FrankRuehl" w:cs="FrankRuehl"/>
          <w:sz w:val="28"/>
          <w:szCs w:val="28"/>
          <w:rtl/>
        </w:rPr>
        <w:t xml:space="preserve">הנוספת </w:t>
      </w:r>
      <w:r w:rsidR="000E46DC" w:rsidRPr="001A0B66">
        <w:rPr>
          <w:rFonts w:ascii="FrankRuehl" w:hAnsi="FrankRuehl" w:cs="FrankRuehl"/>
          <w:sz w:val="28"/>
          <w:szCs w:val="28"/>
          <w:rtl/>
        </w:rPr>
        <w:t>שבכוחם להעניק: משמע למצוא חולשות שונות</w:t>
      </w:r>
      <w:r w:rsidR="00AB7CDE" w:rsidRPr="001A0B66">
        <w:rPr>
          <w:rFonts w:ascii="FrankRuehl" w:hAnsi="FrankRuehl" w:cs="FrankRuehl"/>
          <w:sz w:val="28"/>
          <w:szCs w:val="28"/>
          <w:rtl/>
        </w:rPr>
        <w:t>, פתחים שונים,</w:t>
      </w:r>
      <w:r w:rsidR="000E46DC" w:rsidRPr="001A0B66">
        <w:rPr>
          <w:rFonts w:ascii="FrankRuehl" w:hAnsi="FrankRuehl" w:cs="FrankRuehl"/>
          <w:sz w:val="28"/>
          <w:szCs w:val="28"/>
          <w:rtl/>
        </w:rPr>
        <w:t xml:space="preserve"> בטענות המושמעות</w:t>
      </w:r>
      <w:r w:rsidR="00A2550B" w:rsidRPr="001A0B66">
        <w:rPr>
          <w:rFonts w:ascii="FrankRuehl" w:hAnsi="FrankRuehl" w:cs="FrankRuehl"/>
          <w:sz w:val="28"/>
          <w:szCs w:val="28"/>
          <w:rtl/>
        </w:rPr>
        <w:t xml:space="preserve"> ובראיות</w:t>
      </w:r>
      <w:r w:rsidR="000E46DC" w:rsidRPr="001A0B66">
        <w:rPr>
          <w:rFonts w:ascii="FrankRuehl" w:hAnsi="FrankRuehl" w:cs="FrankRuehl"/>
          <w:sz w:val="28"/>
          <w:szCs w:val="28"/>
          <w:rtl/>
        </w:rPr>
        <w:t xml:space="preserve"> כלפי</w:t>
      </w:r>
      <w:r w:rsidR="001A3294" w:rsidRPr="001A0B66">
        <w:rPr>
          <w:rFonts w:ascii="FrankRuehl" w:hAnsi="FrankRuehl" w:cs="FrankRuehl"/>
          <w:sz w:val="28"/>
          <w:szCs w:val="28"/>
          <w:rtl/>
        </w:rPr>
        <w:t xml:space="preserve"> האדם</w:t>
      </w:r>
      <w:r w:rsidR="000E46DC" w:rsidRPr="001A0B66">
        <w:rPr>
          <w:rFonts w:ascii="FrankRuehl" w:hAnsi="FrankRuehl" w:cs="FrankRuehl"/>
          <w:sz w:val="28"/>
          <w:szCs w:val="28"/>
          <w:rtl/>
        </w:rPr>
        <w:t xml:space="preserve"> – הן בחומר הגלוי והן בחומר החסוי – ו</w:t>
      </w:r>
      <w:r w:rsidR="00817782" w:rsidRPr="001A0B66">
        <w:rPr>
          <w:rFonts w:ascii="FrankRuehl" w:hAnsi="FrankRuehl" w:cs="FrankRuehl"/>
          <w:sz w:val="28"/>
          <w:szCs w:val="28"/>
          <w:rtl/>
        </w:rPr>
        <w:t xml:space="preserve">להציג בפני בית המשפט </w:t>
      </w:r>
      <w:r w:rsidR="000E46DC" w:rsidRPr="001A0B66">
        <w:rPr>
          <w:rFonts w:ascii="FrankRuehl" w:hAnsi="FrankRuehl" w:cs="FrankRuehl"/>
          <w:sz w:val="28"/>
          <w:szCs w:val="28"/>
          <w:rtl/>
        </w:rPr>
        <w:t xml:space="preserve">את הפרשנות המיטבית </w:t>
      </w:r>
      <w:r w:rsidR="00817782" w:rsidRPr="001A0B66">
        <w:rPr>
          <w:rFonts w:ascii="FrankRuehl" w:hAnsi="FrankRuehl" w:cs="FrankRuehl"/>
          <w:sz w:val="28"/>
          <w:szCs w:val="28"/>
          <w:rtl/>
        </w:rPr>
        <w:t xml:space="preserve">ביותר לראיות החסויות </w:t>
      </w:r>
      <w:r w:rsidR="000E46DC" w:rsidRPr="001A0B66">
        <w:rPr>
          <w:rFonts w:ascii="FrankRuehl" w:hAnsi="FrankRuehl" w:cs="FrankRuehl"/>
          <w:sz w:val="28"/>
          <w:szCs w:val="28"/>
          <w:rtl/>
        </w:rPr>
        <w:t xml:space="preserve">מנקודת ראותו של </w:t>
      </w:r>
      <w:r w:rsidR="00817782" w:rsidRPr="001A0B66">
        <w:rPr>
          <w:rFonts w:ascii="FrankRuehl" w:hAnsi="FrankRuehl" w:cs="FrankRuehl"/>
          <w:sz w:val="28"/>
          <w:szCs w:val="28"/>
          <w:rtl/>
        </w:rPr>
        <w:t xml:space="preserve">אותו </w:t>
      </w:r>
      <w:r w:rsidR="000E46DC" w:rsidRPr="001A0B66">
        <w:rPr>
          <w:rFonts w:ascii="FrankRuehl" w:hAnsi="FrankRuehl" w:cs="FrankRuehl"/>
          <w:sz w:val="28"/>
          <w:szCs w:val="28"/>
          <w:rtl/>
        </w:rPr>
        <w:t>אדם.</w:t>
      </w:r>
      <w:r w:rsidR="00135975" w:rsidRPr="001A0B66">
        <w:rPr>
          <w:rFonts w:ascii="FrankRuehl" w:hAnsi="FrankRuehl" w:cs="FrankRuehl"/>
          <w:sz w:val="28"/>
          <w:szCs w:val="28"/>
          <w:rtl/>
        </w:rPr>
        <w:t xml:space="preserve"> </w:t>
      </w:r>
    </w:p>
    <w:p w14:paraId="4872DE66" w14:textId="77777777" w:rsidR="00F86DEF" w:rsidRPr="001A0B66" w:rsidRDefault="00201EC8"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להלן יובאו </w:t>
      </w:r>
      <w:r w:rsidR="00F86DEF" w:rsidRPr="001A0B66">
        <w:rPr>
          <w:rFonts w:ascii="FrankRuehl" w:hAnsi="FrankRuehl" w:cs="FrankRuehl"/>
          <w:sz w:val="28"/>
          <w:szCs w:val="28"/>
          <w:rtl/>
        </w:rPr>
        <w:t xml:space="preserve">מרכיביו העיקריים של ההסדר המוצע בהצעת החוק. </w:t>
      </w:r>
    </w:p>
    <w:p w14:paraId="79CADC26" w14:textId="77777777" w:rsidR="00F86DEF" w:rsidRPr="001A0B66" w:rsidRDefault="00D76B89" w:rsidP="00F307FB">
      <w:pPr>
        <w:pStyle w:val="a1"/>
        <w:spacing w:line="276" w:lineRule="auto"/>
        <w:rPr>
          <w:rFonts w:ascii="FrankRuehl" w:hAnsi="FrankRuehl" w:cs="FrankRuehl"/>
          <w:sz w:val="28"/>
          <w:szCs w:val="28"/>
          <w:rtl/>
        </w:rPr>
      </w:pPr>
      <w:r w:rsidRPr="001A0B66">
        <w:rPr>
          <w:rFonts w:ascii="FrankRuehl" w:hAnsi="FrankRuehl" w:cs="FrankRuehl"/>
          <w:b/>
          <w:bCs/>
          <w:sz w:val="28"/>
          <w:szCs w:val="28"/>
          <w:rtl/>
        </w:rPr>
        <w:t>התפקיד</w:t>
      </w:r>
      <w:r w:rsidRPr="001A0B66">
        <w:rPr>
          <w:rFonts w:ascii="FrankRuehl" w:hAnsi="FrankRuehl" w:cs="FrankRuehl"/>
          <w:sz w:val="28"/>
          <w:szCs w:val="28"/>
          <w:rtl/>
        </w:rPr>
        <w:t xml:space="preserve">. </w:t>
      </w:r>
      <w:r w:rsidR="00F86DEF" w:rsidRPr="001A0B66">
        <w:rPr>
          <w:rFonts w:ascii="FrankRuehl" w:hAnsi="FrankRuehl" w:cs="FrankRuehl"/>
          <w:sz w:val="28"/>
          <w:szCs w:val="28"/>
          <w:rtl/>
        </w:rPr>
        <w:t>עורך הדין המיוחד "ייצג את מי שכנגדו ננקטים ההליכים"</w:t>
      </w:r>
      <w:r w:rsidR="00154AE8" w:rsidRPr="001A0B66">
        <w:rPr>
          <w:rFonts w:ascii="FrankRuehl" w:hAnsi="FrankRuehl" w:cs="FrankRuehl"/>
          <w:sz w:val="28"/>
          <w:szCs w:val="28"/>
          <w:rtl/>
        </w:rPr>
        <w:t>,</w:t>
      </w:r>
      <w:r w:rsidR="00F86DEF" w:rsidRPr="001A0B66">
        <w:rPr>
          <w:rFonts w:ascii="FrankRuehl" w:hAnsi="FrankRuehl" w:cs="FrankRuehl"/>
          <w:sz w:val="28"/>
          <w:szCs w:val="28"/>
          <w:rtl/>
        </w:rPr>
        <w:t xml:space="preserve"> </w:t>
      </w:r>
      <w:r w:rsidR="00E547FE" w:rsidRPr="001A0B66">
        <w:rPr>
          <w:rFonts w:ascii="FrankRuehl" w:hAnsi="FrankRuehl" w:cs="FrankRuehl"/>
          <w:sz w:val="28"/>
          <w:szCs w:val="28"/>
          <w:rtl/>
        </w:rPr>
        <w:t>ב</w:t>
      </w:r>
      <w:r w:rsidR="00F86DEF" w:rsidRPr="001A0B66">
        <w:rPr>
          <w:rFonts w:ascii="FrankRuehl" w:hAnsi="FrankRuehl" w:cs="FrankRuehl"/>
          <w:sz w:val="28"/>
          <w:szCs w:val="28"/>
          <w:rtl/>
        </w:rPr>
        <w:t xml:space="preserve">"הליכים </w:t>
      </w:r>
      <w:proofErr w:type="spellStart"/>
      <w:r w:rsidR="00F86DEF" w:rsidRPr="001A0B66">
        <w:rPr>
          <w:rFonts w:ascii="FrankRuehl" w:hAnsi="FrankRuehl" w:cs="FrankRuehl"/>
          <w:sz w:val="28"/>
          <w:szCs w:val="28"/>
          <w:rtl/>
        </w:rPr>
        <w:t>מינהליים</w:t>
      </w:r>
      <w:proofErr w:type="spellEnd"/>
      <w:r w:rsidR="00F86DEF" w:rsidRPr="001A0B66">
        <w:rPr>
          <w:rFonts w:ascii="FrankRuehl" w:hAnsi="FrankRuehl" w:cs="FrankRuehl"/>
          <w:sz w:val="28"/>
          <w:szCs w:val="28"/>
          <w:rtl/>
        </w:rPr>
        <w:t xml:space="preserve"> ופליליים המבוססים על חומרים חסויים"</w:t>
      </w:r>
      <w:r w:rsidR="00A3149A" w:rsidRPr="001A0B66">
        <w:rPr>
          <w:rFonts w:ascii="FrankRuehl" w:hAnsi="FrankRuehl" w:cs="FrankRuehl"/>
          <w:sz w:val="28"/>
          <w:szCs w:val="28"/>
          <w:rtl/>
        </w:rPr>
        <w:t>.</w:t>
      </w:r>
      <w:r w:rsidR="00F70E79" w:rsidRPr="001A0B66">
        <w:rPr>
          <w:rStyle w:val="FootnoteReference"/>
          <w:rFonts w:ascii="FrankRuehl" w:hAnsi="FrankRuehl" w:cs="FrankRuehl"/>
          <w:sz w:val="28"/>
          <w:szCs w:val="28"/>
          <w:rtl/>
        </w:rPr>
        <w:footnoteReference w:id="43"/>
      </w:r>
      <w:r w:rsidR="00F86DEF" w:rsidRPr="001A0B66">
        <w:rPr>
          <w:rFonts w:ascii="FrankRuehl" w:hAnsi="FrankRuehl" w:cs="FrankRuehl"/>
          <w:sz w:val="28"/>
          <w:szCs w:val="28"/>
          <w:rtl/>
        </w:rPr>
        <w:t xml:space="preserve"> </w:t>
      </w:r>
      <w:r w:rsidR="00DC6110" w:rsidRPr="001A0B66">
        <w:rPr>
          <w:rFonts w:ascii="FrankRuehl" w:hAnsi="FrankRuehl" w:cs="FrankRuehl"/>
          <w:sz w:val="28"/>
          <w:szCs w:val="28"/>
          <w:rtl/>
        </w:rPr>
        <w:t>על אף הניסוח הרחב, בפועל הוגדרה בהצעת החוק רשימה קונקרטית של הליכים חסויים, ואלו הם:</w:t>
      </w:r>
      <w:r w:rsidR="00F86DEF" w:rsidRPr="001A0B66">
        <w:rPr>
          <w:rFonts w:ascii="FrankRuehl" w:hAnsi="FrankRuehl" w:cs="FrankRuehl"/>
          <w:sz w:val="28"/>
          <w:szCs w:val="28"/>
          <w:rtl/>
        </w:rPr>
        <w:t xml:space="preserve"> </w:t>
      </w:r>
    </w:p>
    <w:tbl>
      <w:tblPr>
        <w:bidiVisual/>
        <w:tblW w:w="7960" w:type="dxa"/>
        <w:tblLayout w:type="fixed"/>
        <w:tblCellMar>
          <w:top w:w="57" w:type="dxa"/>
          <w:left w:w="0" w:type="dxa"/>
          <w:bottom w:w="57" w:type="dxa"/>
          <w:right w:w="0" w:type="dxa"/>
        </w:tblCellMar>
        <w:tblLook w:val="01E0" w:firstRow="1" w:lastRow="1" w:firstColumn="1" w:lastColumn="1" w:noHBand="0" w:noVBand="0"/>
      </w:tblPr>
      <w:tblGrid>
        <w:gridCol w:w="774"/>
        <w:gridCol w:w="6476"/>
        <w:gridCol w:w="710"/>
      </w:tblGrid>
      <w:tr w:rsidR="00C13FFF" w:rsidRPr="001A0B66" w14:paraId="3CE8A7A7" w14:textId="77777777" w:rsidTr="00C13FFF">
        <w:trPr>
          <w:cantSplit/>
          <w:trHeight w:val="60"/>
        </w:trPr>
        <w:tc>
          <w:tcPr>
            <w:tcW w:w="7960" w:type="dxa"/>
            <w:gridSpan w:val="3"/>
          </w:tcPr>
          <w:p w14:paraId="766C89A0" w14:textId="77777777" w:rsidR="00C13FFF" w:rsidRPr="001A0B66" w:rsidRDefault="00A5526D" w:rsidP="00F307FB">
            <w:pPr>
              <w:spacing w:line="276" w:lineRule="auto"/>
              <w:rPr>
                <w:rFonts w:ascii="FrankRuehl" w:hAnsi="FrankRuehl" w:cs="FrankRuehl"/>
                <w:sz w:val="28"/>
                <w:szCs w:val="28"/>
                <w:rtl/>
              </w:rPr>
            </w:pPr>
            <w:r w:rsidRPr="001A0B66">
              <w:rPr>
                <w:rFonts w:ascii="FrankRuehl" w:hAnsi="FrankRuehl" w:cs="FrankRuehl"/>
                <w:sz w:val="28"/>
                <w:szCs w:val="28"/>
                <w:rtl/>
              </w:rPr>
              <w:t>"</w:t>
            </w:r>
            <w:r w:rsidR="00C13FFF" w:rsidRPr="001A0B66">
              <w:rPr>
                <w:rFonts w:ascii="FrankRuehl" w:hAnsi="FrankRuehl" w:cs="FrankRuehl"/>
                <w:sz w:val="28"/>
                <w:szCs w:val="28"/>
                <w:rtl/>
              </w:rPr>
              <w:t>הליך חסוי" – הליכים שיפוטיים לפי:</w:t>
            </w:r>
          </w:p>
        </w:tc>
      </w:tr>
      <w:tr w:rsidR="00C13FFF" w:rsidRPr="001A0B66" w14:paraId="5A82020E" w14:textId="77777777" w:rsidTr="00C13FFF">
        <w:trPr>
          <w:gridAfter w:val="1"/>
          <w:wAfter w:w="710" w:type="dxa"/>
          <w:cantSplit/>
          <w:trHeight w:val="60"/>
        </w:trPr>
        <w:tc>
          <w:tcPr>
            <w:tcW w:w="774" w:type="dxa"/>
          </w:tcPr>
          <w:p w14:paraId="44747421" w14:textId="77777777" w:rsidR="00C13FFF" w:rsidRPr="001A0B66" w:rsidRDefault="00C13FFF" w:rsidP="00F307FB">
            <w:pPr>
              <w:spacing w:line="276" w:lineRule="auto"/>
              <w:rPr>
                <w:rFonts w:ascii="FrankRuehl" w:hAnsi="FrankRuehl" w:cs="FrankRuehl"/>
                <w:sz w:val="28"/>
                <w:szCs w:val="28"/>
              </w:rPr>
            </w:pPr>
          </w:p>
        </w:tc>
        <w:tc>
          <w:tcPr>
            <w:tcW w:w="6476" w:type="dxa"/>
          </w:tcPr>
          <w:p w14:paraId="4297F440" w14:textId="77777777" w:rsidR="00C13FFF" w:rsidRPr="001A0B66" w:rsidRDefault="00C13FFF" w:rsidP="00F307FB">
            <w:pPr>
              <w:pStyle w:val="ListParagraph"/>
              <w:numPr>
                <w:ilvl w:val="0"/>
                <w:numId w:val="40"/>
              </w:numPr>
              <w:spacing w:line="276" w:lineRule="auto"/>
              <w:rPr>
                <w:rFonts w:ascii="FrankRuehl" w:hAnsi="FrankRuehl" w:cs="FrankRuehl"/>
                <w:sz w:val="28"/>
                <w:szCs w:val="28"/>
              </w:rPr>
            </w:pPr>
            <w:r w:rsidRPr="001A0B66">
              <w:rPr>
                <w:rFonts w:ascii="FrankRuehl" w:hAnsi="FrankRuehl" w:cs="FrankRuehl"/>
                <w:sz w:val="28"/>
                <w:szCs w:val="28"/>
                <w:rtl/>
              </w:rPr>
              <w:t xml:space="preserve">סעיפים 4, 5 ו-7 לחוק סמכויות לשעת חירום (מעצרים), </w:t>
            </w:r>
            <w:proofErr w:type="spellStart"/>
            <w:r w:rsidRPr="001A0B66">
              <w:rPr>
                <w:rFonts w:ascii="FrankRuehl" w:hAnsi="FrankRuehl" w:cs="FrankRuehl"/>
                <w:sz w:val="28"/>
                <w:szCs w:val="28"/>
                <w:rtl/>
              </w:rPr>
              <w:t>התשל"ט</w:t>
            </w:r>
            <w:proofErr w:type="spellEnd"/>
            <w:r w:rsidRPr="001A0B66">
              <w:rPr>
                <w:rFonts w:ascii="FrankRuehl" w:hAnsi="FrankRuehl" w:cs="FrankRuehl"/>
                <w:sz w:val="28"/>
                <w:szCs w:val="28"/>
                <w:rtl/>
              </w:rPr>
              <w:t>–1979 [מעצר מנהלי];</w:t>
            </w:r>
          </w:p>
        </w:tc>
      </w:tr>
      <w:tr w:rsidR="00C13FFF" w:rsidRPr="001A0B66" w14:paraId="6B6F098B" w14:textId="77777777" w:rsidTr="00C13FFF">
        <w:trPr>
          <w:gridAfter w:val="1"/>
          <w:wAfter w:w="710" w:type="dxa"/>
          <w:cantSplit/>
          <w:trHeight w:val="60"/>
        </w:trPr>
        <w:tc>
          <w:tcPr>
            <w:tcW w:w="774" w:type="dxa"/>
          </w:tcPr>
          <w:p w14:paraId="4895C5E0" w14:textId="77777777" w:rsidR="00C13FFF" w:rsidRPr="001A0B66" w:rsidRDefault="00C13FFF" w:rsidP="00F307FB">
            <w:pPr>
              <w:spacing w:line="276" w:lineRule="auto"/>
              <w:rPr>
                <w:rFonts w:ascii="FrankRuehl" w:hAnsi="FrankRuehl" w:cs="FrankRuehl"/>
                <w:sz w:val="28"/>
                <w:szCs w:val="28"/>
              </w:rPr>
            </w:pPr>
          </w:p>
        </w:tc>
        <w:tc>
          <w:tcPr>
            <w:tcW w:w="6476" w:type="dxa"/>
          </w:tcPr>
          <w:p w14:paraId="34D506B4" w14:textId="77777777" w:rsidR="00C13FFF" w:rsidRPr="001A0B66" w:rsidRDefault="00C13FFF" w:rsidP="00F307FB">
            <w:pPr>
              <w:pStyle w:val="ListParagraph"/>
              <w:numPr>
                <w:ilvl w:val="0"/>
                <w:numId w:val="40"/>
              </w:numPr>
              <w:spacing w:line="276" w:lineRule="auto"/>
              <w:rPr>
                <w:rFonts w:ascii="FrankRuehl" w:hAnsi="FrankRuehl" w:cs="FrankRuehl"/>
                <w:sz w:val="28"/>
                <w:szCs w:val="28"/>
                <w:rtl/>
              </w:rPr>
            </w:pPr>
            <w:r w:rsidRPr="001A0B66">
              <w:rPr>
                <w:rFonts w:ascii="FrankRuehl" w:hAnsi="FrankRuehl" w:cs="FrankRuehl"/>
                <w:sz w:val="28"/>
                <w:szCs w:val="28"/>
                <w:rtl/>
              </w:rPr>
              <w:t>סעיפים 108, 109, 110 לתקנות ההגנה (שעת חירום), 1945 [צווי צמצום וצווי השגחת משטרה];</w:t>
            </w:r>
          </w:p>
        </w:tc>
      </w:tr>
      <w:tr w:rsidR="00C13FFF" w:rsidRPr="001A0B66" w14:paraId="5E090021" w14:textId="77777777" w:rsidTr="00C13FFF">
        <w:trPr>
          <w:gridAfter w:val="1"/>
          <w:wAfter w:w="710" w:type="dxa"/>
          <w:cantSplit/>
          <w:trHeight w:val="60"/>
        </w:trPr>
        <w:tc>
          <w:tcPr>
            <w:tcW w:w="774" w:type="dxa"/>
          </w:tcPr>
          <w:p w14:paraId="1DCE17C1" w14:textId="77777777" w:rsidR="00C13FFF" w:rsidRPr="001A0B66" w:rsidRDefault="00C13FFF" w:rsidP="00F307FB">
            <w:pPr>
              <w:spacing w:line="276" w:lineRule="auto"/>
              <w:rPr>
                <w:rFonts w:ascii="FrankRuehl" w:hAnsi="FrankRuehl" w:cs="FrankRuehl"/>
                <w:sz w:val="28"/>
                <w:szCs w:val="28"/>
              </w:rPr>
            </w:pPr>
          </w:p>
        </w:tc>
        <w:tc>
          <w:tcPr>
            <w:tcW w:w="6476" w:type="dxa"/>
          </w:tcPr>
          <w:p w14:paraId="0671FD24" w14:textId="77777777" w:rsidR="00C13FFF" w:rsidRPr="001A0B66" w:rsidRDefault="00C13FFF" w:rsidP="00F307FB">
            <w:pPr>
              <w:pStyle w:val="ListParagraph"/>
              <w:numPr>
                <w:ilvl w:val="0"/>
                <w:numId w:val="40"/>
              </w:numPr>
              <w:spacing w:line="276" w:lineRule="auto"/>
              <w:rPr>
                <w:rFonts w:ascii="FrankRuehl" w:hAnsi="FrankRuehl" w:cs="FrankRuehl"/>
                <w:sz w:val="28"/>
                <w:szCs w:val="28"/>
                <w:rtl/>
              </w:rPr>
            </w:pPr>
            <w:r w:rsidRPr="001A0B66">
              <w:rPr>
                <w:rFonts w:ascii="FrankRuehl" w:hAnsi="FrankRuehl" w:cs="FrankRuehl"/>
                <w:sz w:val="28"/>
                <w:szCs w:val="28"/>
                <w:rtl/>
              </w:rPr>
              <w:t xml:space="preserve">סעיף 65 לחוק המאבק בטרור, </w:t>
            </w:r>
            <w:proofErr w:type="spellStart"/>
            <w:r w:rsidRPr="001A0B66">
              <w:rPr>
                <w:rFonts w:ascii="FrankRuehl" w:hAnsi="FrankRuehl" w:cs="FrankRuehl"/>
                <w:sz w:val="28"/>
                <w:szCs w:val="28"/>
                <w:rtl/>
              </w:rPr>
              <w:t>התשע"א</w:t>
            </w:r>
            <w:proofErr w:type="spellEnd"/>
            <w:r w:rsidRPr="001A0B66">
              <w:rPr>
                <w:rFonts w:ascii="FrankRuehl" w:hAnsi="FrankRuehl" w:cs="FrankRuehl"/>
                <w:sz w:val="28"/>
                <w:szCs w:val="28"/>
                <w:rtl/>
              </w:rPr>
              <w:t>–2011 (צ"ל: התשע"ו-2016) [צווי תפיסה וצווי חילוט];</w:t>
            </w:r>
          </w:p>
        </w:tc>
      </w:tr>
      <w:tr w:rsidR="00C13FFF" w:rsidRPr="001A0B66" w14:paraId="66F13F85" w14:textId="77777777" w:rsidTr="00C13FFF">
        <w:trPr>
          <w:gridAfter w:val="1"/>
          <w:wAfter w:w="710" w:type="dxa"/>
          <w:cantSplit/>
          <w:trHeight w:val="60"/>
        </w:trPr>
        <w:tc>
          <w:tcPr>
            <w:tcW w:w="774" w:type="dxa"/>
          </w:tcPr>
          <w:p w14:paraId="1A56D8B8" w14:textId="77777777" w:rsidR="00C13FFF" w:rsidRPr="001A0B66" w:rsidRDefault="00C13FFF" w:rsidP="00F307FB">
            <w:pPr>
              <w:spacing w:line="276" w:lineRule="auto"/>
              <w:rPr>
                <w:rFonts w:ascii="FrankRuehl" w:hAnsi="FrankRuehl" w:cs="FrankRuehl"/>
                <w:sz w:val="28"/>
                <w:szCs w:val="28"/>
              </w:rPr>
            </w:pPr>
          </w:p>
        </w:tc>
        <w:tc>
          <w:tcPr>
            <w:tcW w:w="6476" w:type="dxa"/>
          </w:tcPr>
          <w:p w14:paraId="10C4BF72" w14:textId="77777777" w:rsidR="00C13FFF" w:rsidRPr="001A0B66" w:rsidRDefault="00C13FFF" w:rsidP="00F307FB">
            <w:pPr>
              <w:pStyle w:val="ListParagraph"/>
              <w:numPr>
                <w:ilvl w:val="0"/>
                <w:numId w:val="40"/>
              </w:numPr>
              <w:spacing w:line="276" w:lineRule="auto"/>
              <w:rPr>
                <w:rFonts w:ascii="FrankRuehl" w:hAnsi="FrankRuehl" w:cs="FrankRuehl"/>
                <w:sz w:val="28"/>
                <w:szCs w:val="28"/>
                <w:rtl/>
              </w:rPr>
            </w:pPr>
            <w:r w:rsidRPr="001A0B66">
              <w:rPr>
                <w:rFonts w:ascii="FrankRuehl" w:hAnsi="FrankRuehl" w:cs="FrankRuehl"/>
                <w:sz w:val="28"/>
                <w:szCs w:val="28"/>
                <w:rtl/>
              </w:rPr>
              <w:t xml:space="preserve">סעיף 35 לחוק סדר הדין הפלילי (סמכויות אכיפה – מעצרים), </w:t>
            </w:r>
            <w:proofErr w:type="spellStart"/>
            <w:r w:rsidRPr="001A0B66">
              <w:rPr>
                <w:rFonts w:ascii="FrankRuehl" w:hAnsi="FrankRuehl" w:cs="FrankRuehl"/>
                <w:sz w:val="28"/>
                <w:szCs w:val="28"/>
                <w:rtl/>
              </w:rPr>
              <w:t>התשנ"ו</w:t>
            </w:r>
            <w:proofErr w:type="spellEnd"/>
            <w:r w:rsidRPr="001A0B66">
              <w:rPr>
                <w:rFonts w:ascii="FrankRuehl" w:hAnsi="FrankRuehl" w:cs="FrankRuehl"/>
                <w:sz w:val="28"/>
                <w:szCs w:val="28"/>
                <w:rtl/>
              </w:rPr>
              <w:t>–1996 [מניעת פגישה עם עורך דין בעבירות ביטחון];</w:t>
            </w:r>
          </w:p>
        </w:tc>
      </w:tr>
      <w:tr w:rsidR="00C13FFF" w:rsidRPr="001A0B66" w14:paraId="00334C2F" w14:textId="77777777" w:rsidTr="00C13FFF">
        <w:trPr>
          <w:gridAfter w:val="1"/>
          <w:wAfter w:w="710" w:type="dxa"/>
          <w:cantSplit/>
          <w:trHeight w:val="60"/>
        </w:trPr>
        <w:tc>
          <w:tcPr>
            <w:tcW w:w="774" w:type="dxa"/>
          </w:tcPr>
          <w:p w14:paraId="501EB99E" w14:textId="77777777" w:rsidR="00C13FFF" w:rsidRPr="001A0B66" w:rsidRDefault="00C13FFF" w:rsidP="00F307FB">
            <w:pPr>
              <w:spacing w:line="276" w:lineRule="auto"/>
              <w:rPr>
                <w:rFonts w:ascii="FrankRuehl" w:hAnsi="FrankRuehl" w:cs="FrankRuehl"/>
                <w:sz w:val="28"/>
                <w:szCs w:val="28"/>
              </w:rPr>
            </w:pPr>
          </w:p>
        </w:tc>
        <w:tc>
          <w:tcPr>
            <w:tcW w:w="6476" w:type="dxa"/>
          </w:tcPr>
          <w:p w14:paraId="45C3B63E" w14:textId="77777777" w:rsidR="00C13FFF" w:rsidRPr="001A0B66" w:rsidRDefault="00C13FFF" w:rsidP="00F307FB">
            <w:pPr>
              <w:pStyle w:val="ListParagraph"/>
              <w:numPr>
                <w:ilvl w:val="0"/>
                <w:numId w:val="40"/>
              </w:numPr>
              <w:spacing w:line="276" w:lineRule="auto"/>
              <w:rPr>
                <w:rFonts w:ascii="FrankRuehl" w:hAnsi="FrankRuehl" w:cs="FrankRuehl"/>
                <w:sz w:val="28"/>
                <w:szCs w:val="28"/>
                <w:rtl/>
              </w:rPr>
            </w:pPr>
            <w:r w:rsidRPr="001A0B66">
              <w:rPr>
                <w:rFonts w:ascii="FrankRuehl" w:hAnsi="FrankRuehl" w:cs="FrankRuehl"/>
                <w:sz w:val="28"/>
                <w:szCs w:val="28"/>
                <w:rtl/>
              </w:rPr>
              <w:t xml:space="preserve">סעיפים 5, ו-6 לחוק כליאתם של לוחמים בלתי חוקיים, </w:t>
            </w:r>
            <w:proofErr w:type="spellStart"/>
            <w:r w:rsidRPr="001A0B66">
              <w:rPr>
                <w:rFonts w:ascii="FrankRuehl" w:hAnsi="FrankRuehl" w:cs="FrankRuehl"/>
                <w:sz w:val="28"/>
                <w:szCs w:val="28"/>
                <w:rtl/>
              </w:rPr>
              <w:t>התשס"ב</w:t>
            </w:r>
            <w:proofErr w:type="spellEnd"/>
            <w:r w:rsidRPr="001A0B66">
              <w:rPr>
                <w:rFonts w:ascii="FrankRuehl" w:hAnsi="FrankRuehl" w:cs="FrankRuehl"/>
                <w:sz w:val="28"/>
                <w:szCs w:val="28"/>
                <w:rtl/>
              </w:rPr>
              <w:t>–2002;</w:t>
            </w:r>
            <w:r w:rsidR="00A3149A" w:rsidRPr="001A0B66">
              <w:rPr>
                <w:rStyle w:val="FootnoteReference"/>
                <w:rFonts w:ascii="FrankRuehl" w:hAnsi="FrankRuehl" w:cs="FrankRuehl"/>
                <w:sz w:val="28"/>
                <w:szCs w:val="28"/>
                <w:rtl/>
              </w:rPr>
              <w:t xml:space="preserve"> </w:t>
            </w:r>
            <w:r w:rsidR="00FF4E58" w:rsidRPr="001A0B66">
              <w:rPr>
                <w:rStyle w:val="FootnoteReference"/>
                <w:rFonts w:ascii="FrankRuehl" w:hAnsi="FrankRuehl" w:cs="FrankRuehl"/>
                <w:sz w:val="28"/>
                <w:szCs w:val="28"/>
                <w:rtl/>
              </w:rPr>
              <w:t>"</w:t>
            </w:r>
            <w:r w:rsidR="00A3149A" w:rsidRPr="001A0B66">
              <w:rPr>
                <w:rStyle w:val="FootnoteReference"/>
                <w:rFonts w:ascii="FrankRuehl" w:hAnsi="FrankRuehl" w:cs="FrankRuehl"/>
                <w:sz w:val="28"/>
                <w:szCs w:val="28"/>
                <w:rtl/>
              </w:rPr>
              <w:footnoteReference w:id="44"/>
            </w:r>
          </w:p>
        </w:tc>
      </w:tr>
    </w:tbl>
    <w:p w14:paraId="4AFE4A84" w14:textId="77777777" w:rsidR="00F86DEF" w:rsidRPr="001A0B66" w:rsidRDefault="004B4C4B"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בכל הליך חסוי שכזה "בפני בית משפט או בית דין, יתייצב עורך דין מיוחד".</w:t>
      </w:r>
      <w:r w:rsidR="00A3149A" w:rsidRPr="001A0B66">
        <w:rPr>
          <w:rStyle w:val="FootnoteReference"/>
          <w:rFonts w:ascii="FrankRuehl" w:hAnsi="FrankRuehl" w:cs="FrankRuehl"/>
          <w:sz w:val="28"/>
          <w:szCs w:val="28"/>
          <w:rtl/>
        </w:rPr>
        <w:footnoteReference w:id="45"/>
      </w:r>
      <w:r w:rsidRPr="001A0B66">
        <w:rPr>
          <w:rFonts w:ascii="FrankRuehl" w:hAnsi="FrankRuehl" w:cs="FrankRuehl"/>
          <w:sz w:val="28"/>
          <w:szCs w:val="28"/>
          <w:rtl/>
        </w:rPr>
        <w:t xml:space="preserve"> כאמור לעיל, הוא "יבחן את הקשר בין המידע החסוי לבין הסעד המבוקש בהליך החסוי וכן את נחיצותו של הסעד המבוקש לאור המידע החסוי, ויפעל על מנת להגן על עניינו של האדם שכנגדו ננקט ההליך החסוי בפני בית המשפט".</w:t>
      </w:r>
      <w:r w:rsidR="00A3149A" w:rsidRPr="001A0B66">
        <w:rPr>
          <w:rStyle w:val="FootnoteReference"/>
          <w:rFonts w:ascii="FrankRuehl" w:hAnsi="FrankRuehl" w:cs="FrankRuehl"/>
          <w:sz w:val="28"/>
          <w:szCs w:val="28"/>
          <w:rtl/>
        </w:rPr>
        <w:footnoteReference w:id="46"/>
      </w:r>
      <w:r w:rsidRPr="001A0B66">
        <w:rPr>
          <w:rFonts w:ascii="FrankRuehl" w:hAnsi="FrankRuehl" w:cs="FrankRuehl"/>
          <w:sz w:val="28"/>
          <w:szCs w:val="28"/>
          <w:rtl/>
        </w:rPr>
        <w:t xml:space="preserve"> לשם כך, הוא "יקבל לידיו את המידע החסוי המוגש במסגרת ההליך החסוי, 24 שעות לכל הפחות לפני הדיון; נקבע ההליך למועד קרוב מ-24 שעות, יימסר החומר לעורך הדין המיוחד במהירות האפשרית".</w:t>
      </w:r>
      <w:r w:rsidR="00D83A3D" w:rsidRPr="001A0B66">
        <w:rPr>
          <w:rStyle w:val="FootnoteReference"/>
          <w:rFonts w:ascii="FrankRuehl" w:hAnsi="FrankRuehl" w:cs="FrankRuehl"/>
          <w:sz w:val="28"/>
          <w:szCs w:val="28"/>
          <w:rtl/>
        </w:rPr>
        <w:footnoteReference w:id="47"/>
      </w:r>
      <w:r w:rsidRPr="001A0B66">
        <w:rPr>
          <w:rFonts w:ascii="FrankRuehl" w:hAnsi="FrankRuehl" w:cs="FrankRuehl"/>
          <w:sz w:val="28"/>
          <w:szCs w:val="28"/>
          <w:rtl/>
        </w:rPr>
        <w:t xml:space="preserve"> הוא "יפעל ככל שניתן, על מנת להיפגש עם האדם שנגדו ננקט ההליך החסוי וזאת בטרם נמסר לידיו המידע החסוי"</w:t>
      </w:r>
      <w:bookmarkStart w:id="40" w:name="_Hlk41207776"/>
      <w:bookmarkStart w:id="41" w:name="_Hlk41207877"/>
      <w:r w:rsidR="00D76B89" w:rsidRPr="001A0B66">
        <w:rPr>
          <w:rFonts w:ascii="FrankRuehl" w:hAnsi="FrankRuehl" w:cs="FrankRuehl"/>
          <w:sz w:val="28"/>
          <w:szCs w:val="28"/>
          <w:rtl/>
        </w:rPr>
        <w:t>;</w:t>
      </w:r>
      <w:r w:rsidR="00D83A3D" w:rsidRPr="001A0B66">
        <w:rPr>
          <w:rStyle w:val="FootnoteReference"/>
          <w:rFonts w:ascii="FrankRuehl" w:hAnsi="FrankRuehl" w:cs="FrankRuehl"/>
          <w:sz w:val="28"/>
          <w:szCs w:val="28"/>
          <w:rtl/>
        </w:rPr>
        <w:footnoteReference w:id="48"/>
      </w:r>
      <w:r w:rsidR="00D76B89" w:rsidRPr="001A0B66">
        <w:rPr>
          <w:rFonts w:ascii="FrankRuehl" w:hAnsi="FrankRuehl" w:cs="FrankRuehl"/>
          <w:sz w:val="28"/>
          <w:szCs w:val="28"/>
          <w:rtl/>
        </w:rPr>
        <w:t xml:space="preserve"> אך</w:t>
      </w:r>
      <w:r w:rsidRPr="001A0B66">
        <w:rPr>
          <w:rFonts w:ascii="FrankRuehl" w:hAnsi="FrankRuehl" w:cs="FrankRuehl"/>
          <w:sz w:val="28"/>
          <w:szCs w:val="28"/>
          <w:rtl/>
        </w:rPr>
        <w:t xml:space="preserve"> </w:t>
      </w:r>
      <w:bookmarkEnd w:id="40"/>
      <w:bookmarkEnd w:id="41"/>
      <w:r w:rsidRPr="001A0B66">
        <w:rPr>
          <w:rFonts w:ascii="FrankRuehl" w:hAnsi="FrankRuehl" w:cs="FrankRuehl"/>
          <w:sz w:val="28"/>
          <w:szCs w:val="28"/>
          <w:rtl/>
        </w:rPr>
        <w:t xml:space="preserve">לאחר שנחשף למידע החסוי מנוע עורך הדין המיוחד </w:t>
      </w:r>
      <w:r w:rsidR="00B56DEC" w:rsidRPr="001A0B66">
        <w:rPr>
          <w:rFonts w:ascii="FrankRuehl" w:hAnsi="FrankRuehl" w:cs="FrankRuehl"/>
          <w:sz w:val="28"/>
          <w:szCs w:val="28"/>
          <w:rtl/>
        </w:rPr>
        <w:t>"[מ]להיפגש עם האדם שנגדו ננקט ההליך החסוי או מי מטעמו, אלא באישור בית המשפט".</w:t>
      </w:r>
      <w:r w:rsidR="00D83A3D" w:rsidRPr="001A0B66">
        <w:rPr>
          <w:rStyle w:val="FootnoteReference"/>
          <w:rFonts w:ascii="FrankRuehl" w:hAnsi="FrankRuehl" w:cs="FrankRuehl"/>
          <w:sz w:val="28"/>
          <w:szCs w:val="28"/>
          <w:rtl/>
        </w:rPr>
        <w:footnoteReference w:id="49"/>
      </w:r>
      <w:r w:rsidR="00B56DEC" w:rsidRPr="001A0B66">
        <w:rPr>
          <w:rFonts w:ascii="FrankRuehl" w:hAnsi="FrankRuehl" w:cs="FrankRuehl"/>
          <w:sz w:val="28"/>
          <w:szCs w:val="28"/>
          <w:rtl/>
        </w:rPr>
        <w:t xml:space="preserve"> לשם מילוי תפקידו </w:t>
      </w:r>
      <w:r w:rsidR="00D83A3D" w:rsidRPr="001A0B66">
        <w:rPr>
          <w:rFonts w:ascii="FrankRuehl" w:hAnsi="FrankRuehl" w:cs="FrankRuehl"/>
          <w:sz w:val="28"/>
          <w:szCs w:val="28"/>
          <w:rtl/>
        </w:rPr>
        <w:t xml:space="preserve">הוא </w:t>
      </w:r>
      <w:r w:rsidR="00B56DEC" w:rsidRPr="001A0B66">
        <w:rPr>
          <w:rFonts w:ascii="FrankRuehl" w:hAnsi="FrankRuehl" w:cs="FrankRuehl"/>
          <w:sz w:val="28"/>
          <w:szCs w:val="28"/>
          <w:rtl/>
        </w:rPr>
        <w:t>רשאי "לבקש מבית המשפט להזמין לדיון בעל תפקיד הקשור למידע החסוי או להליך החסוי".</w:t>
      </w:r>
      <w:r w:rsidR="00D83A3D" w:rsidRPr="001A0B66">
        <w:rPr>
          <w:rStyle w:val="FootnoteReference"/>
          <w:rFonts w:ascii="FrankRuehl" w:hAnsi="FrankRuehl" w:cs="FrankRuehl"/>
          <w:sz w:val="28"/>
          <w:szCs w:val="28"/>
          <w:rtl/>
        </w:rPr>
        <w:footnoteReference w:id="50"/>
      </w:r>
      <w:r w:rsidR="0040044D" w:rsidRPr="001A0B66">
        <w:rPr>
          <w:rFonts w:ascii="FrankRuehl" w:hAnsi="FrankRuehl" w:cs="FrankRuehl"/>
          <w:sz w:val="28"/>
          <w:szCs w:val="28"/>
          <w:rtl/>
        </w:rPr>
        <w:t xml:space="preserve"> </w:t>
      </w:r>
      <w:r w:rsidR="00D83A3D" w:rsidRPr="001A0B66">
        <w:rPr>
          <w:rFonts w:ascii="FrankRuehl" w:hAnsi="FrankRuehl" w:cs="FrankRuehl"/>
          <w:sz w:val="28"/>
          <w:szCs w:val="28"/>
          <w:rtl/>
        </w:rPr>
        <w:t>ב</w:t>
      </w:r>
      <w:r w:rsidR="0040044D" w:rsidRPr="001A0B66">
        <w:rPr>
          <w:rFonts w:ascii="FrankRuehl" w:hAnsi="FrankRuehl" w:cs="FrankRuehl"/>
          <w:sz w:val="28"/>
          <w:szCs w:val="28"/>
          <w:rtl/>
        </w:rPr>
        <w:t>הצעה</w:t>
      </w:r>
      <w:r w:rsidR="00D83A3D" w:rsidRPr="001A0B66">
        <w:rPr>
          <w:rFonts w:ascii="FrankRuehl" w:hAnsi="FrankRuehl" w:cs="FrankRuehl"/>
          <w:sz w:val="28"/>
          <w:szCs w:val="28"/>
          <w:rtl/>
        </w:rPr>
        <w:t xml:space="preserve"> פורט עוד</w:t>
      </w:r>
      <w:r w:rsidR="0040044D" w:rsidRPr="001A0B66">
        <w:rPr>
          <w:rFonts w:ascii="FrankRuehl" w:hAnsi="FrankRuehl" w:cs="FrankRuehl"/>
          <w:sz w:val="28"/>
          <w:szCs w:val="28"/>
          <w:rtl/>
        </w:rPr>
        <w:t xml:space="preserve"> כי "הסניגור הארצי יקבע הנחיות לביצוע תפקידו של עורך הדין המיוחד".</w:t>
      </w:r>
      <w:r w:rsidR="00D83A3D" w:rsidRPr="001A0B66">
        <w:rPr>
          <w:rStyle w:val="FootnoteReference"/>
          <w:rFonts w:ascii="FrankRuehl" w:hAnsi="FrankRuehl" w:cs="FrankRuehl"/>
          <w:sz w:val="28"/>
          <w:szCs w:val="28"/>
          <w:rtl/>
        </w:rPr>
        <w:footnoteReference w:id="51"/>
      </w:r>
      <w:r w:rsidR="0040044D" w:rsidRPr="001A0B66">
        <w:rPr>
          <w:rFonts w:ascii="FrankRuehl" w:hAnsi="FrankRuehl" w:cs="FrankRuehl"/>
          <w:sz w:val="28"/>
          <w:szCs w:val="28"/>
          <w:rtl/>
        </w:rPr>
        <w:t xml:space="preserve"> </w:t>
      </w:r>
    </w:p>
    <w:p w14:paraId="187D8093" w14:textId="77777777" w:rsidR="00D76B89" w:rsidRPr="001A0B66" w:rsidRDefault="003D16B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מה שמסתמן לפיכך הוא הליך מורכב, שאלו שלביו: תחילה פוגש</w:t>
      </w:r>
      <w:r w:rsidR="001A4DAD" w:rsidRPr="001A0B66">
        <w:rPr>
          <w:rFonts w:ascii="FrankRuehl" w:hAnsi="FrankRuehl" w:cs="FrankRuehl"/>
          <w:sz w:val="28"/>
          <w:szCs w:val="28"/>
          <w:rtl/>
        </w:rPr>
        <w:t>ת</w:t>
      </w:r>
      <w:r w:rsidRPr="001A0B66">
        <w:rPr>
          <w:rFonts w:ascii="FrankRuehl" w:hAnsi="FrankRuehl" w:cs="FrankRuehl"/>
          <w:sz w:val="28"/>
          <w:szCs w:val="28"/>
          <w:rtl/>
        </w:rPr>
        <w:t xml:space="preserve"> עור</w:t>
      </w:r>
      <w:r w:rsidR="001A4DAD" w:rsidRPr="001A0B66">
        <w:rPr>
          <w:rFonts w:ascii="FrankRuehl" w:hAnsi="FrankRuehl" w:cs="FrankRuehl"/>
          <w:sz w:val="28"/>
          <w:szCs w:val="28"/>
          <w:rtl/>
        </w:rPr>
        <w:t>כת</w:t>
      </w:r>
      <w:r w:rsidRPr="001A0B66">
        <w:rPr>
          <w:rFonts w:ascii="FrankRuehl" w:hAnsi="FrankRuehl" w:cs="FrankRuehl"/>
          <w:sz w:val="28"/>
          <w:szCs w:val="28"/>
          <w:rtl/>
        </w:rPr>
        <w:t xml:space="preserve"> הדין המיוחד</w:t>
      </w:r>
      <w:r w:rsidR="001A4DAD" w:rsidRPr="001A0B66">
        <w:rPr>
          <w:rFonts w:ascii="FrankRuehl" w:hAnsi="FrankRuehl" w:cs="FrankRuehl"/>
          <w:sz w:val="28"/>
          <w:szCs w:val="28"/>
          <w:rtl/>
        </w:rPr>
        <w:t>ת</w:t>
      </w:r>
      <w:r w:rsidRPr="001A0B66">
        <w:rPr>
          <w:rFonts w:ascii="FrankRuehl" w:hAnsi="FrankRuehl" w:cs="FrankRuehl"/>
          <w:sz w:val="28"/>
          <w:szCs w:val="28"/>
          <w:rtl/>
        </w:rPr>
        <w:t xml:space="preserve"> את האדם, ואולי גם את עורך דינו הרגיל, ושומע</w:t>
      </w:r>
      <w:r w:rsidR="001A4DAD" w:rsidRPr="001A0B66">
        <w:rPr>
          <w:rFonts w:ascii="FrankRuehl" w:hAnsi="FrankRuehl" w:cs="FrankRuehl"/>
          <w:sz w:val="28"/>
          <w:szCs w:val="28"/>
          <w:rtl/>
        </w:rPr>
        <w:t>ת</w:t>
      </w:r>
      <w:r w:rsidRPr="001A0B66">
        <w:rPr>
          <w:rFonts w:ascii="FrankRuehl" w:hAnsi="FrankRuehl" w:cs="FrankRuehl"/>
          <w:sz w:val="28"/>
          <w:szCs w:val="28"/>
          <w:rtl/>
        </w:rPr>
        <w:t xml:space="preserve"> </w:t>
      </w:r>
      <w:r w:rsidR="002D1FEF" w:rsidRPr="001A0B66">
        <w:rPr>
          <w:rFonts w:ascii="FrankRuehl" w:hAnsi="FrankRuehl" w:cs="FrankRuehl"/>
          <w:sz w:val="28"/>
          <w:szCs w:val="28"/>
          <w:rtl/>
        </w:rPr>
        <w:t xml:space="preserve">ממנו </w:t>
      </w:r>
      <w:r w:rsidRPr="001A0B66">
        <w:rPr>
          <w:rFonts w:ascii="FrankRuehl" w:hAnsi="FrankRuehl" w:cs="FrankRuehl"/>
          <w:sz w:val="28"/>
          <w:szCs w:val="28"/>
          <w:rtl/>
        </w:rPr>
        <w:t xml:space="preserve">דברים על יסוד הפרפרזה ועל יסוד שאלות שמתעוררות </w:t>
      </w:r>
      <w:r w:rsidR="00D83A3D" w:rsidRPr="001A0B66">
        <w:rPr>
          <w:rFonts w:ascii="FrankRuehl" w:hAnsi="FrankRuehl" w:cs="FrankRuehl"/>
          <w:sz w:val="28"/>
          <w:szCs w:val="28"/>
          <w:rtl/>
        </w:rPr>
        <w:t>בעקבותיה</w:t>
      </w:r>
      <w:r w:rsidRPr="001A0B66">
        <w:rPr>
          <w:rFonts w:ascii="FrankRuehl" w:hAnsi="FrankRuehl" w:cs="FrankRuehl"/>
          <w:sz w:val="28"/>
          <w:szCs w:val="28"/>
          <w:rtl/>
        </w:rPr>
        <w:t xml:space="preserve">; </w:t>
      </w:r>
      <w:r w:rsidR="00F9454C" w:rsidRPr="001A0B66">
        <w:rPr>
          <w:rFonts w:ascii="FrankRuehl" w:hAnsi="FrankRuehl" w:cs="FrankRuehl"/>
          <w:sz w:val="28"/>
          <w:szCs w:val="28"/>
          <w:rtl/>
        </w:rPr>
        <w:t>בשלב העוקב</w:t>
      </w:r>
      <w:r w:rsidR="00D83A3D" w:rsidRPr="001A0B66">
        <w:rPr>
          <w:rFonts w:ascii="FrankRuehl" w:hAnsi="FrankRuehl" w:cs="FrankRuehl"/>
          <w:sz w:val="28"/>
          <w:szCs w:val="28"/>
          <w:rtl/>
        </w:rPr>
        <w:t xml:space="preserve"> אמורה</w:t>
      </w:r>
      <w:r w:rsidR="00F9454C" w:rsidRPr="001A0B66">
        <w:rPr>
          <w:rFonts w:ascii="FrankRuehl" w:hAnsi="FrankRuehl" w:cs="FrankRuehl"/>
          <w:sz w:val="28"/>
          <w:szCs w:val="28"/>
          <w:rtl/>
        </w:rPr>
        <w:t xml:space="preserve"> </w:t>
      </w:r>
      <w:r w:rsidRPr="001A0B66">
        <w:rPr>
          <w:rFonts w:ascii="FrankRuehl" w:hAnsi="FrankRuehl" w:cs="FrankRuehl"/>
          <w:sz w:val="28"/>
          <w:szCs w:val="28"/>
          <w:rtl/>
        </w:rPr>
        <w:t>עור</w:t>
      </w:r>
      <w:r w:rsidR="001A4DAD" w:rsidRPr="001A0B66">
        <w:rPr>
          <w:rFonts w:ascii="FrankRuehl" w:hAnsi="FrankRuehl" w:cs="FrankRuehl"/>
          <w:sz w:val="28"/>
          <w:szCs w:val="28"/>
          <w:rtl/>
        </w:rPr>
        <w:t>כת</w:t>
      </w:r>
      <w:r w:rsidRPr="001A0B66">
        <w:rPr>
          <w:rFonts w:ascii="FrankRuehl" w:hAnsi="FrankRuehl" w:cs="FrankRuehl"/>
          <w:sz w:val="28"/>
          <w:szCs w:val="28"/>
          <w:rtl/>
        </w:rPr>
        <w:t xml:space="preserve"> הדין המיוחד</w:t>
      </w:r>
      <w:r w:rsidR="001A4DAD" w:rsidRPr="001A0B66">
        <w:rPr>
          <w:rFonts w:ascii="FrankRuehl" w:hAnsi="FrankRuehl" w:cs="FrankRuehl"/>
          <w:sz w:val="28"/>
          <w:szCs w:val="28"/>
          <w:rtl/>
        </w:rPr>
        <w:t>ת</w:t>
      </w:r>
      <w:r w:rsidRPr="001A0B66">
        <w:rPr>
          <w:rFonts w:ascii="FrankRuehl" w:hAnsi="FrankRuehl" w:cs="FrankRuehl"/>
          <w:sz w:val="28"/>
          <w:szCs w:val="28"/>
          <w:rtl/>
        </w:rPr>
        <w:t xml:space="preserve"> להיחשף לבד</w:t>
      </w:r>
      <w:r w:rsidR="001A4DAD" w:rsidRPr="001A0B66">
        <w:rPr>
          <w:rFonts w:ascii="FrankRuehl" w:hAnsi="FrankRuehl" w:cs="FrankRuehl"/>
          <w:sz w:val="28"/>
          <w:szCs w:val="28"/>
          <w:rtl/>
        </w:rPr>
        <w:t>ה</w:t>
      </w:r>
      <w:r w:rsidRPr="001A0B66">
        <w:rPr>
          <w:rFonts w:ascii="FrankRuehl" w:hAnsi="FrankRuehl" w:cs="FrankRuehl"/>
          <w:sz w:val="28"/>
          <w:szCs w:val="28"/>
          <w:rtl/>
        </w:rPr>
        <w:t xml:space="preserve"> לראיות החסויות ולהשמיע טענות בפני בית המשפט </w:t>
      </w:r>
      <w:r w:rsidR="00D83A3D" w:rsidRPr="001A0B66">
        <w:rPr>
          <w:rFonts w:ascii="FrankRuehl" w:hAnsi="FrankRuehl" w:cs="FrankRuehl"/>
          <w:sz w:val="28"/>
          <w:szCs w:val="28"/>
          <w:rtl/>
        </w:rPr>
        <w:t>בעניין</w:t>
      </w:r>
      <w:r w:rsidRPr="001A0B66">
        <w:rPr>
          <w:rFonts w:ascii="FrankRuehl" w:hAnsi="FrankRuehl" w:cs="FrankRuehl"/>
          <w:sz w:val="28"/>
          <w:szCs w:val="28"/>
          <w:rtl/>
        </w:rPr>
        <w:t xml:space="preserve"> חש</w:t>
      </w:r>
      <w:r w:rsidR="00D83A3D" w:rsidRPr="001A0B66">
        <w:rPr>
          <w:rFonts w:ascii="FrankRuehl" w:hAnsi="FrankRuehl" w:cs="FrankRuehl"/>
          <w:sz w:val="28"/>
          <w:szCs w:val="28"/>
          <w:rtl/>
        </w:rPr>
        <w:t xml:space="preserve">יפת </w:t>
      </w:r>
      <w:r w:rsidR="00AB7CDE" w:rsidRPr="001A0B66">
        <w:rPr>
          <w:rFonts w:ascii="FrankRuehl" w:hAnsi="FrankRuehl" w:cs="FrankRuehl"/>
          <w:sz w:val="28"/>
          <w:szCs w:val="28"/>
          <w:rtl/>
        </w:rPr>
        <w:t>חלק מ</w:t>
      </w:r>
      <w:r w:rsidR="00D83A3D" w:rsidRPr="001A0B66">
        <w:rPr>
          <w:rFonts w:ascii="FrankRuehl" w:hAnsi="FrankRuehl" w:cs="FrankRuehl"/>
          <w:sz w:val="28"/>
          <w:szCs w:val="28"/>
          <w:rtl/>
        </w:rPr>
        <w:t>הראיות החסויות</w:t>
      </w:r>
      <w:r w:rsidR="00E25C51" w:rsidRPr="001A0B66">
        <w:rPr>
          <w:rFonts w:ascii="FrankRuehl" w:hAnsi="FrankRuehl" w:cs="FrankRuehl"/>
          <w:sz w:val="28"/>
          <w:szCs w:val="28"/>
          <w:rtl/>
        </w:rPr>
        <w:t>;</w:t>
      </w:r>
      <w:r w:rsidRPr="001A0B66">
        <w:rPr>
          <w:rFonts w:ascii="FrankRuehl" w:hAnsi="FrankRuehl" w:cs="FrankRuehl"/>
          <w:sz w:val="28"/>
          <w:szCs w:val="28"/>
          <w:rtl/>
        </w:rPr>
        <w:t xml:space="preserve"> אם </w:t>
      </w:r>
      <w:r w:rsidR="00E25C51" w:rsidRPr="001A0B66">
        <w:rPr>
          <w:rFonts w:ascii="FrankRuehl" w:hAnsi="FrankRuehl" w:cs="FrankRuehl"/>
          <w:sz w:val="28"/>
          <w:szCs w:val="28"/>
          <w:rtl/>
        </w:rPr>
        <w:t xml:space="preserve">– בעקבות בקשה של בית המשפט או </w:t>
      </w:r>
      <w:r w:rsidR="00154AE8" w:rsidRPr="001A0B66">
        <w:rPr>
          <w:rFonts w:ascii="FrankRuehl" w:hAnsi="FrankRuehl" w:cs="FrankRuehl"/>
          <w:sz w:val="28"/>
          <w:szCs w:val="28"/>
          <w:rtl/>
        </w:rPr>
        <w:t xml:space="preserve">בעקבות </w:t>
      </w:r>
      <w:r w:rsidR="00E25C51" w:rsidRPr="001A0B66">
        <w:rPr>
          <w:rFonts w:ascii="FrankRuehl" w:hAnsi="FrankRuehl" w:cs="FrankRuehl"/>
          <w:sz w:val="28"/>
          <w:szCs w:val="28"/>
          <w:rtl/>
        </w:rPr>
        <w:t xml:space="preserve">צו שלו – </w:t>
      </w:r>
      <w:r w:rsidRPr="001A0B66">
        <w:rPr>
          <w:rFonts w:ascii="FrankRuehl" w:hAnsi="FrankRuehl" w:cs="FrankRuehl"/>
          <w:sz w:val="28"/>
          <w:szCs w:val="28"/>
          <w:rtl/>
        </w:rPr>
        <w:t>מתרחבת הפרפרזה, ואם אכן נחשפות ראיות</w:t>
      </w:r>
      <w:r w:rsidR="00154AE8" w:rsidRPr="001A0B66">
        <w:rPr>
          <w:rFonts w:ascii="FrankRuehl" w:hAnsi="FrankRuehl" w:cs="FrankRuehl"/>
          <w:sz w:val="28"/>
          <w:szCs w:val="28"/>
          <w:rtl/>
        </w:rPr>
        <w:t xml:space="preserve"> שהיו חסויות קודם לכן</w:t>
      </w:r>
      <w:r w:rsidRPr="001A0B66">
        <w:rPr>
          <w:rFonts w:ascii="FrankRuehl" w:hAnsi="FrankRuehl" w:cs="FrankRuehl"/>
          <w:sz w:val="28"/>
          <w:szCs w:val="28"/>
          <w:rtl/>
        </w:rPr>
        <w:t xml:space="preserve">, כי אז יש לאדם ולעורך דינו הרגיל הזדמנות להתייחס בפני בית המשפט לטענות </w:t>
      </w:r>
      <w:r w:rsidR="00F9454C" w:rsidRPr="001A0B66">
        <w:rPr>
          <w:rFonts w:ascii="FrankRuehl" w:hAnsi="FrankRuehl" w:cs="FrankRuehl"/>
          <w:sz w:val="28"/>
          <w:szCs w:val="28"/>
          <w:rtl/>
        </w:rPr>
        <w:t>הספציפיות</w:t>
      </w:r>
      <w:r w:rsidR="002D1FEF" w:rsidRPr="001A0B66">
        <w:rPr>
          <w:rFonts w:ascii="FrankRuehl" w:hAnsi="FrankRuehl" w:cs="FrankRuehl"/>
          <w:sz w:val="28"/>
          <w:szCs w:val="28"/>
          <w:rtl/>
        </w:rPr>
        <w:t xml:space="preserve"> יותר</w:t>
      </w:r>
      <w:r w:rsidR="00E25C51" w:rsidRPr="001A0B66">
        <w:rPr>
          <w:rFonts w:ascii="FrankRuehl" w:hAnsi="FrankRuehl" w:cs="FrankRuehl"/>
          <w:sz w:val="28"/>
          <w:szCs w:val="28"/>
          <w:rtl/>
        </w:rPr>
        <w:t>;</w:t>
      </w:r>
      <w:r w:rsidRPr="001A0B66">
        <w:rPr>
          <w:rFonts w:ascii="FrankRuehl" w:hAnsi="FrankRuehl" w:cs="FrankRuehl"/>
          <w:sz w:val="28"/>
          <w:szCs w:val="28"/>
          <w:rtl/>
        </w:rPr>
        <w:t xml:space="preserve"> בשלב זה אמור להתקיים הליך</w:t>
      </w:r>
      <w:r w:rsidR="00E25C51" w:rsidRPr="001A0B66">
        <w:rPr>
          <w:rFonts w:ascii="FrankRuehl" w:hAnsi="FrankRuehl" w:cs="FrankRuehl"/>
          <w:sz w:val="28"/>
          <w:szCs w:val="28"/>
          <w:rtl/>
        </w:rPr>
        <w:t>,</w:t>
      </w:r>
      <w:r w:rsidRPr="001A0B66">
        <w:rPr>
          <w:rFonts w:ascii="FrankRuehl" w:hAnsi="FrankRuehl" w:cs="FrankRuehl"/>
          <w:sz w:val="28"/>
          <w:szCs w:val="28"/>
          <w:rtl/>
        </w:rPr>
        <w:t xml:space="preserve"> שלא במעמד האדם ועורך דינו הרגיל, </w:t>
      </w:r>
      <w:r w:rsidR="00C5564F" w:rsidRPr="001A0B66">
        <w:rPr>
          <w:rFonts w:ascii="FrankRuehl" w:hAnsi="FrankRuehl" w:cs="FrankRuehl"/>
          <w:sz w:val="28"/>
          <w:szCs w:val="28"/>
          <w:rtl/>
        </w:rPr>
        <w:t>ש</w:t>
      </w:r>
      <w:r w:rsidRPr="001A0B66">
        <w:rPr>
          <w:rFonts w:ascii="FrankRuehl" w:hAnsi="FrankRuehl" w:cs="FrankRuehl"/>
          <w:sz w:val="28"/>
          <w:szCs w:val="28"/>
          <w:rtl/>
        </w:rPr>
        <w:t>בו עור</w:t>
      </w:r>
      <w:r w:rsidR="001A4DAD" w:rsidRPr="001A0B66">
        <w:rPr>
          <w:rFonts w:ascii="FrankRuehl" w:hAnsi="FrankRuehl" w:cs="FrankRuehl"/>
          <w:sz w:val="28"/>
          <w:szCs w:val="28"/>
          <w:rtl/>
        </w:rPr>
        <w:t>כת</w:t>
      </w:r>
      <w:r w:rsidRPr="001A0B66">
        <w:rPr>
          <w:rFonts w:ascii="FrankRuehl" w:hAnsi="FrankRuehl" w:cs="FrankRuehl"/>
          <w:sz w:val="28"/>
          <w:szCs w:val="28"/>
          <w:rtl/>
        </w:rPr>
        <w:t xml:space="preserve"> הדין המיוחד</w:t>
      </w:r>
      <w:r w:rsidR="001A4DAD" w:rsidRPr="001A0B66">
        <w:rPr>
          <w:rFonts w:ascii="FrankRuehl" w:hAnsi="FrankRuehl" w:cs="FrankRuehl"/>
          <w:sz w:val="28"/>
          <w:szCs w:val="28"/>
          <w:rtl/>
        </w:rPr>
        <w:t>ת</w:t>
      </w:r>
      <w:r w:rsidRPr="001A0B66">
        <w:rPr>
          <w:rFonts w:ascii="FrankRuehl" w:hAnsi="FrankRuehl" w:cs="FrankRuehl"/>
          <w:sz w:val="28"/>
          <w:szCs w:val="28"/>
          <w:rtl/>
        </w:rPr>
        <w:t xml:space="preserve"> טוע</w:t>
      </w:r>
      <w:r w:rsidR="001A4DAD" w:rsidRPr="001A0B66">
        <w:rPr>
          <w:rFonts w:ascii="FrankRuehl" w:hAnsi="FrankRuehl" w:cs="FrankRuehl"/>
          <w:sz w:val="28"/>
          <w:szCs w:val="28"/>
          <w:rtl/>
        </w:rPr>
        <w:t>נת</w:t>
      </w:r>
      <w:r w:rsidRPr="001A0B66">
        <w:rPr>
          <w:rFonts w:ascii="FrankRuehl" w:hAnsi="FrankRuehl" w:cs="FrankRuehl"/>
          <w:sz w:val="28"/>
          <w:szCs w:val="28"/>
          <w:rtl/>
        </w:rPr>
        <w:t xml:space="preserve"> טענות על יסוד</w:t>
      </w:r>
      <w:r w:rsidR="00E547FE" w:rsidRPr="001A0B66">
        <w:rPr>
          <w:rFonts w:ascii="FrankRuehl" w:hAnsi="FrankRuehl" w:cs="FrankRuehl"/>
          <w:sz w:val="28"/>
          <w:szCs w:val="28"/>
          <w:rtl/>
        </w:rPr>
        <w:t xml:space="preserve"> הראיות החסויות</w:t>
      </w:r>
      <w:r w:rsidRPr="001A0B66">
        <w:rPr>
          <w:rFonts w:ascii="FrankRuehl" w:hAnsi="FrankRuehl" w:cs="FrankRuehl"/>
          <w:sz w:val="28"/>
          <w:szCs w:val="28"/>
          <w:rtl/>
        </w:rPr>
        <w:t xml:space="preserve"> </w:t>
      </w:r>
      <w:r w:rsidR="00E547FE" w:rsidRPr="001A0B66">
        <w:rPr>
          <w:rFonts w:ascii="FrankRuehl" w:hAnsi="FrankRuehl" w:cs="FrankRuehl"/>
          <w:sz w:val="28"/>
          <w:szCs w:val="28"/>
          <w:rtl/>
        </w:rPr>
        <w:t>ו</w:t>
      </w:r>
      <w:r w:rsidRPr="001A0B66">
        <w:rPr>
          <w:rFonts w:ascii="FrankRuehl" w:hAnsi="FrankRuehl" w:cs="FrankRuehl"/>
          <w:sz w:val="28"/>
          <w:szCs w:val="28"/>
          <w:rtl/>
        </w:rPr>
        <w:t>התמונה הכוללת יותר שהתגבשה, וכן על יסוד הפרשנות שה</w:t>
      </w:r>
      <w:r w:rsidR="001A4DAD" w:rsidRPr="001A0B66">
        <w:rPr>
          <w:rFonts w:ascii="FrankRuehl" w:hAnsi="FrankRuehl" w:cs="FrankRuehl"/>
          <w:sz w:val="28"/>
          <w:szCs w:val="28"/>
          <w:rtl/>
        </w:rPr>
        <w:t>י</w:t>
      </w:r>
      <w:r w:rsidRPr="001A0B66">
        <w:rPr>
          <w:rFonts w:ascii="FrankRuehl" w:hAnsi="FrankRuehl" w:cs="FrankRuehl"/>
          <w:sz w:val="28"/>
          <w:szCs w:val="28"/>
          <w:rtl/>
        </w:rPr>
        <w:t>א מבקש</w:t>
      </w:r>
      <w:r w:rsidR="00081A5E" w:rsidRPr="001A0B66">
        <w:rPr>
          <w:rFonts w:ascii="FrankRuehl" w:hAnsi="FrankRuehl" w:cs="FrankRuehl"/>
          <w:sz w:val="28"/>
          <w:szCs w:val="28"/>
          <w:rtl/>
        </w:rPr>
        <w:t>ת</w:t>
      </w:r>
      <w:r w:rsidRPr="001A0B66">
        <w:rPr>
          <w:rFonts w:ascii="FrankRuehl" w:hAnsi="FrankRuehl" w:cs="FrankRuehl"/>
          <w:sz w:val="28"/>
          <w:szCs w:val="28"/>
          <w:rtl/>
        </w:rPr>
        <w:t xml:space="preserve"> לתת לראיות שבפני בית המשפט – אלו הגלויות ואלו החסויות. </w:t>
      </w:r>
    </w:p>
    <w:p w14:paraId="21BA485E" w14:textId="77777777" w:rsidR="00D76B89" w:rsidRPr="001A0B66" w:rsidRDefault="00D76B89" w:rsidP="00F307FB">
      <w:pPr>
        <w:pStyle w:val="a0"/>
        <w:spacing w:line="276" w:lineRule="auto"/>
        <w:ind w:firstLine="0"/>
        <w:rPr>
          <w:rFonts w:ascii="FrankRuehl" w:hAnsi="FrankRuehl" w:cs="FrankRuehl"/>
          <w:sz w:val="28"/>
          <w:szCs w:val="28"/>
          <w:rtl/>
        </w:rPr>
      </w:pPr>
      <w:bookmarkStart w:id="42" w:name="classification"/>
      <w:r w:rsidRPr="001A0B66">
        <w:rPr>
          <w:rFonts w:ascii="FrankRuehl" w:hAnsi="FrankRuehl" w:cs="FrankRuehl"/>
          <w:b/>
          <w:bCs/>
          <w:sz w:val="28"/>
          <w:szCs w:val="28"/>
          <w:rtl/>
        </w:rPr>
        <w:t>תנאי הכשירות לתפקיד</w:t>
      </w:r>
      <w:bookmarkEnd w:id="42"/>
      <w:r w:rsidRPr="001A0B66">
        <w:rPr>
          <w:rFonts w:ascii="FrankRuehl" w:hAnsi="FrankRuehl" w:cs="FrankRuehl"/>
          <w:sz w:val="28"/>
          <w:szCs w:val="28"/>
          <w:rtl/>
        </w:rPr>
        <w:t xml:space="preserve">. כשיר להתמנות לעורך דין מיוחד מי שממלא את התנאים </w:t>
      </w:r>
      <w:r w:rsidR="00862196" w:rsidRPr="001A0B66">
        <w:rPr>
          <w:rFonts w:ascii="FrankRuehl" w:hAnsi="FrankRuehl" w:cs="FrankRuehl"/>
          <w:sz w:val="28"/>
          <w:szCs w:val="28"/>
          <w:rtl/>
        </w:rPr>
        <w:t>הללו</w:t>
      </w:r>
      <w:r w:rsidRPr="001A0B66">
        <w:rPr>
          <w:rFonts w:ascii="FrankRuehl" w:hAnsi="FrankRuehl" w:cs="FrankRuehl"/>
          <w:sz w:val="28"/>
          <w:szCs w:val="28"/>
          <w:rtl/>
        </w:rPr>
        <w:t>:</w:t>
      </w:r>
    </w:p>
    <w:p w14:paraId="02770423" w14:textId="77777777" w:rsidR="00862196" w:rsidRPr="001A0B66" w:rsidRDefault="00862196" w:rsidP="00F307FB">
      <w:pPr>
        <w:pStyle w:val="ListParagraph"/>
        <w:numPr>
          <w:ilvl w:val="0"/>
          <w:numId w:val="41"/>
        </w:numPr>
        <w:spacing w:line="276" w:lineRule="auto"/>
        <w:rPr>
          <w:rFonts w:ascii="FrankRuehl" w:hAnsi="FrankRuehl" w:cs="FrankRuehl"/>
          <w:sz w:val="28"/>
          <w:szCs w:val="28"/>
        </w:rPr>
      </w:pPr>
      <w:r w:rsidRPr="001A0B66">
        <w:rPr>
          <w:rFonts w:ascii="FrankRuehl" w:hAnsi="FrankRuehl" w:cs="FrankRuehl"/>
          <w:sz w:val="28"/>
          <w:szCs w:val="28"/>
          <w:rtl/>
        </w:rPr>
        <w:t>חבר בלשכת עורכי הדין בישראל, ועסק בעריכת דין, ברציפות או לסירוגין, חמש שנים לפחות;</w:t>
      </w:r>
    </w:p>
    <w:p w14:paraId="2AE658DB" w14:textId="77777777" w:rsidR="00862196" w:rsidRPr="001A0B66" w:rsidRDefault="00862196" w:rsidP="00F307FB">
      <w:pPr>
        <w:pStyle w:val="ListParagraph"/>
        <w:numPr>
          <w:ilvl w:val="0"/>
          <w:numId w:val="41"/>
        </w:numPr>
        <w:spacing w:line="276" w:lineRule="auto"/>
        <w:rPr>
          <w:rFonts w:ascii="FrankRuehl" w:hAnsi="FrankRuehl" w:cs="FrankRuehl"/>
          <w:sz w:val="28"/>
          <w:szCs w:val="28"/>
          <w:rtl/>
        </w:rPr>
      </w:pPr>
      <w:r w:rsidRPr="001A0B66">
        <w:rPr>
          <w:rFonts w:ascii="FrankRuehl" w:hAnsi="FrankRuehl" w:cs="FrankRuehl"/>
          <w:sz w:val="28"/>
          <w:szCs w:val="28"/>
          <w:rtl/>
        </w:rPr>
        <w:t>בעל סיווג ביטחוני מתאים כפי שיקבעו גורמי הביטחון המוסמכים;</w:t>
      </w:r>
    </w:p>
    <w:p w14:paraId="61EB8E7E" w14:textId="77777777" w:rsidR="00862196" w:rsidRPr="001A0B66" w:rsidRDefault="00862196" w:rsidP="00F307FB">
      <w:pPr>
        <w:pStyle w:val="ListParagraph"/>
        <w:numPr>
          <w:ilvl w:val="0"/>
          <w:numId w:val="41"/>
        </w:numPr>
        <w:spacing w:line="276" w:lineRule="auto"/>
        <w:rPr>
          <w:rFonts w:ascii="FrankRuehl" w:hAnsi="FrankRuehl" w:cs="FrankRuehl"/>
          <w:sz w:val="28"/>
          <w:szCs w:val="28"/>
          <w:rtl/>
        </w:rPr>
      </w:pPr>
      <w:r w:rsidRPr="001A0B66">
        <w:rPr>
          <w:rFonts w:ascii="FrankRuehl" w:hAnsi="FrankRuehl" w:cs="FrankRuehl"/>
          <w:sz w:val="28"/>
          <w:szCs w:val="28"/>
          <w:rtl/>
        </w:rPr>
        <w:t>בעל היכרות מוקדמת עם הליכי חקירה של עבירות ביטחון;</w:t>
      </w:r>
    </w:p>
    <w:p w14:paraId="24C66CD0" w14:textId="77777777" w:rsidR="00862196" w:rsidRPr="001A0B66" w:rsidRDefault="00862196" w:rsidP="00F307FB">
      <w:pPr>
        <w:pStyle w:val="ListParagraph"/>
        <w:numPr>
          <w:ilvl w:val="0"/>
          <w:numId w:val="41"/>
        </w:numPr>
        <w:spacing w:line="276" w:lineRule="auto"/>
        <w:rPr>
          <w:rFonts w:ascii="FrankRuehl" w:hAnsi="FrankRuehl" w:cs="FrankRuehl"/>
          <w:sz w:val="28"/>
          <w:szCs w:val="28"/>
          <w:rtl/>
        </w:rPr>
      </w:pPr>
      <w:r w:rsidRPr="001A0B66">
        <w:rPr>
          <w:rFonts w:ascii="FrankRuehl" w:hAnsi="FrankRuehl" w:cs="FrankRuehl"/>
          <w:sz w:val="28"/>
          <w:szCs w:val="28"/>
          <w:rtl/>
        </w:rPr>
        <w:t>קיבל הכשרה מתאימה, כפי שיקבע הסניגור הציבורי הארצי.</w:t>
      </w:r>
      <w:r w:rsidR="00C5564F" w:rsidRPr="001A0B66">
        <w:rPr>
          <w:rStyle w:val="FootnoteReference"/>
          <w:rFonts w:ascii="FrankRuehl" w:hAnsi="FrankRuehl" w:cs="FrankRuehl"/>
          <w:sz w:val="28"/>
          <w:szCs w:val="28"/>
          <w:rtl/>
        </w:rPr>
        <w:footnoteReference w:id="52"/>
      </w:r>
    </w:p>
    <w:p w14:paraId="6B4936C2" w14:textId="77777777" w:rsidR="00D76B89" w:rsidRPr="001A0B66" w:rsidRDefault="0040044D"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lastRenderedPageBreak/>
        <w:t>מפגש עורך הדין המיוחד עם החומר הסודי וחקירת חוקרי השב"כ</w:t>
      </w:r>
      <w:r w:rsidR="00C5564F" w:rsidRPr="001A0B66">
        <w:rPr>
          <w:rFonts w:ascii="FrankRuehl" w:hAnsi="FrankRuehl" w:cs="FrankRuehl"/>
          <w:sz w:val="28"/>
          <w:szCs w:val="28"/>
          <w:rtl/>
        </w:rPr>
        <w:t xml:space="preserve"> על</w:t>
      </w:r>
      <w:r w:rsidRPr="001A0B66">
        <w:rPr>
          <w:rFonts w:ascii="FrankRuehl" w:hAnsi="FrankRuehl" w:cs="FrankRuehl"/>
          <w:sz w:val="28"/>
          <w:szCs w:val="28"/>
          <w:rtl/>
        </w:rPr>
        <w:t xml:space="preserve"> אודותיו מצדיקים את הדרישה </w:t>
      </w:r>
      <w:r w:rsidR="00C5564F" w:rsidRPr="001A0B66">
        <w:rPr>
          <w:rFonts w:ascii="FrankRuehl" w:hAnsi="FrankRuehl" w:cs="FrankRuehl"/>
          <w:sz w:val="28"/>
          <w:szCs w:val="28"/>
          <w:rtl/>
        </w:rPr>
        <w:t>כי</w:t>
      </w:r>
      <w:r w:rsidRPr="001A0B66">
        <w:rPr>
          <w:rFonts w:ascii="FrankRuehl" w:hAnsi="FrankRuehl" w:cs="FrankRuehl"/>
          <w:sz w:val="28"/>
          <w:szCs w:val="28"/>
          <w:rtl/>
        </w:rPr>
        <w:t xml:space="preserve"> עורכי הדין הללו </w:t>
      </w:r>
      <w:r w:rsidR="00C5564F" w:rsidRPr="001A0B66">
        <w:rPr>
          <w:rFonts w:ascii="FrankRuehl" w:hAnsi="FrankRuehl" w:cs="FrankRuehl"/>
          <w:sz w:val="28"/>
          <w:szCs w:val="28"/>
          <w:rtl/>
        </w:rPr>
        <w:t xml:space="preserve">יעמדו </w:t>
      </w:r>
      <w:r w:rsidRPr="001A0B66">
        <w:rPr>
          <w:rFonts w:ascii="FrankRuehl" w:hAnsi="FrankRuehl" w:cs="FrankRuehl"/>
          <w:sz w:val="28"/>
          <w:szCs w:val="28"/>
          <w:rtl/>
        </w:rPr>
        <w:t xml:space="preserve">בתנאים של סיווג בטחוני. אולם </w:t>
      </w:r>
      <w:r w:rsidR="00C5564F" w:rsidRPr="001A0B66">
        <w:rPr>
          <w:rFonts w:ascii="FrankRuehl" w:hAnsi="FrankRuehl" w:cs="FrankRuehl"/>
          <w:sz w:val="28"/>
          <w:szCs w:val="28"/>
          <w:rtl/>
        </w:rPr>
        <w:t xml:space="preserve">בהצעה לא נקבע </w:t>
      </w:r>
      <w:r w:rsidRPr="001A0B66">
        <w:rPr>
          <w:rFonts w:ascii="FrankRuehl" w:hAnsi="FrankRuehl" w:cs="FrankRuehl"/>
          <w:sz w:val="28"/>
          <w:szCs w:val="28"/>
          <w:rtl/>
        </w:rPr>
        <w:t>מהו הסיווג הנדרש</w:t>
      </w:r>
      <w:r w:rsidR="003525A2" w:rsidRPr="001A0B66">
        <w:rPr>
          <w:rFonts w:ascii="FrankRuehl" w:hAnsi="FrankRuehl" w:cs="FrankRuehl"/>
          <w:sz w:val="28"/>
          <w:szCs w:val="28"/>
          <w:rtl/>
        </w:rPr>
        <w:t>,</w:t>
      </w:r>
      <w:r w:rsidRPr="001A0B66">
        <w:rPr>
          <w:rFonts w:ascii="FrankRuehl" w:hAnsi="FrankRuehl" w:cs="FrankRuehl"/>
          <w:sz w:val="28"/>
          <w:szCs w:val="28"/>
          <w:rtl/>
        </w:rPr>
        <w:t xml:space="preserve"> מי</w:t>
      </w:r>
      <w:r w:rsidR="00C5564F" w:rsidRPr="001A0B66">
        <w:rPr>
          <w:rFonts w:ascii="FrankRuehl" w:hAnsi="FrankRuehl" w:cs="FrankRuehl"/>
          <w:sz w:val="28"/>
          <w:szCs w:val="28"/>
          <w:rtl/>
        </w:rPr>
        <w:t xml:space="preserve"> </w:t>
      </w:r>
      <w:r w:rsidRPr="001A0B66">
        <w:rPr>
          <w:rFonts w:ascii="FrankRuehl" w:hAnsi="FrankRuehl" w:cs="FrankRuehl"/>
          <w:sz w:val="28"/>
          <w:szCs w:val="28"/>
          <w:rtl/>
        </w:rPr>
        <w:t>ייקבע אותו</w:t>
      </w:r>
      <w:r w:rsidR="003525A2" w:rsidRPr="001A0B66">
        <w:rPr>
          <w:rFonts w:ascii="FrankRuehl" w:hAnsi="FrankRuehl" w:cs="FrankRuehl"/>
          <w:sz w:val="28"/>
          <w:szCs w:val="28"/>
          <w:rtl/>
        </w:rPr>
        <w:t>, ומי</w:t>
      </w:r>
      <w:r w:rsidR="00C5564F" w:rsidRPr="001A0B66">
        <w:rPr>
          <w:rFonts w:ascii="FrankRuehl" w:hAnsi="FrankRuehl" w:cs="FrankRuehl"/>
          <w:sz w:val="28"/>
          <w:szCs w:val="28"/>
          <w:rtl/>
        </w:rPr>
        <w:t xml:space="preserve"> יקבל או ידחה</w:t>
      </w:r>
      <w:r w:rsidR="003525A2" w:rsidRPr="001A0B66">
        <w:rPr>
          <w:rFonts w:ascii="FrankRuehl" w:hAnsi="FrankRuehl" w:cs="FrankRuehl"/>
          <w:sz w:val="28"/>
          <w:szCs w:val="28"/>
          <w:rtl/>
        </w:rPr>
        <w:t xml:space="preserve"> מועמד קונקרטי</w:t>
      </w:r>
      <w:r w:rsidR="00E25C51" w:rsidRPr="001A0B66">
        <w:rPr>
          <w:rFonts w:ascii="FrankRuehl" w:hAnsi="FrankRuehl" w:cs="FrankRuehl"/>
          <w:sz w:val="28"/>
          <w:szCs w:val="28"/>
          <w:rtl/>
        </w:rPr>
        <w:t xml:space="preserve"> כזה או אחר</w:t>
      </w:r>
      <w:r w:rsidR="00C5564F" w:rsidRPr="001A0B66">
        <w:rPr>
          <w:rFonts w:ascii="FrankRuehl" w:hAnsi="FrankRuehl" w:cs="FrankRuehl"/>
          <w:sz w:val="28"/>
          <w:szCs w:val="28"/>
          <w:rtl/>
        </w:rPr>
        <w:t xml:space="preserve">; לכאורה </w:t>
      </w:r>
      <w:r w:rsidRPr="001A0B66">
        <w:rPr>
          <w:rFonts w:ascii="FrankRuehl" w:hAnsi="FrankRuehl" w:cs="FrankRuehl"/>
          <w:sz w:val="28"/>
          <w:szCs w:val="28"/>
          <w:rtl/>
        </w:rPr>
        <w:t>ההצעה מותירה זאת כליל בידי "גורמי הביטחון המוסמכים"</w:t>
      </w:r>
      <w:r w:rsidR="001C24CC" w:rsidRPr="001A0B66">
        <w:rPr>
          <w:rFonts w:ascii="FrankRuehl" w:hAnsi="FrankRuehl" w:cs="FrankRuehl"/>
          <w:sz w:val="28"/>
          <w:szCs w:val="28"/>
          <w:rtl/>
        </w:rPr>
        <w:t>,</w:t>
      </w:r>
      <w:r w:rsidR="00E547FE" w:rsidRPr="001A0B66">
        <w:rPr>
          <w:rFonts w:ascii="FrankRuehl" w:hAnsi="FrankRuehl" w:cs="FrankRuehl"/>
          <w:sz w:val="28"/>
          <w:szCs w:val="28"/>
          <w:rtl/>
        </w:rPr>
        <w:t xml:space="preserve"> דהיינו שירות הביטחון הכללי</w:t>
      </w:r>
      <w:r w:rsidRPr="001A0B66">
        <w:rPr>
          <w:rFonts w:ascii="FrankRuehl" w:hAnsi="FrankRuehl" w:cs="FrankRuehl"/>
          <w:sz w:val="28"/>
          <w:szCs w:val="28"/>
          <w:rtl/>
        </w:rPr>
        <w:t>.</w:t>
      </w:r>
      <w:r w:rsidR="00357DAC" w:rsidRPr="001A0B66">
        <w:rPr>
          <w:rStyle w:val="FootnoteReference"/>
          <w:rFonts w:ascii="FrankRuehl" w:hAnsi="FrankRuehl" w:cs="FrankRuehl"/>
          <w:sz w:val="28"/>
          <w:szCs w:val="28"/>
          <w:rtl/>
        </w:rPr>
        <w:footnoteReference w:id="53"/>
      </w:r>
      <w:r w:rsidR="003525A2" w:rsidRPr="001A0B66">
        <w:rPr>
          <w:rFonts w:ascii="FrankRuehl" w:hAnsi="FrankRuehl" w:cs="FrankRuehl"/>
          <w:sz w:val="28"/>
          <w:szCs w:val="28"/>
          <w:rtl/>
        </w:rPr>
        <w:t xml:space="preserve"> </w:t>
      </w:r>
      <w:r w:rsidR="00EE1562" w:rsidRPr="001A0B66">
        <w:rPr>
          <w:rFonts w:ascii="FrankRuehl" w:hAnsi="FrankRuehl" w:cs="FrankRuehl"/>
          <w:sz w:val="28"/>
          <w:szCs w:val="28"/>
          <w:rtl/>
        </w:rPr>
        <w:t xml:space="preserve">אנו מבקשים להפנות את תשומת הלב לכך שתנאי הסיווג הביטחוני טומן בחובו שתי סוגיות נפרדות: האחת עקרונית, מהי רמת הסיווג הביטחוני הנדרש? ואילו השנייה יישומית, האם פלוני עומד בדרגת הסיווג עליה הוחלט. </w:t>
      </w:r>
      <w:r w:rsidR="00792FF1" w:rsidRPr="001A0B66">
        <w:rPr>
          <w:rFonts w:ascii="FrankRuehl" w:hAnsi="FrankRuehl" w:cs="FrankRuehl"/>
          <w:sz w:val="28"/>
          <w:szCs w:val="28"/>
          <w:rtl/>
        </w:rPr>
        <w:t>האם המענה לשתי השאלות ביחס לעורכי הדין המיוחדים צריך להיוותר בידי "גורמי הביטחון המוסמכים" או שגורמים אלה צריכים להסתפק בתפקיד בדיקת ההתאמה?</w:t>
      </w:r>
      <w:r w:rsidR="00792FF1" w:rsidRPr="001A0B66">
        <w:rPr>
          <w:rFonts w:ascii="FrankRuehl" w:hAnsi="FrankRuehl" w:cs="FrankRuehl"/>
          <w:sz w:val="28"/>
          <w:szCs w:val="28"/>
          <w:vertAlign w:val="superscript"/>
          <w:rtl/>
        </w:rPr>
        <w:footnoteReference w:id="54"/>
      </w:r>
      <w:r w:rsidR="00792FF1" w:rsidRPr="001A0B66">
        <w:rPr>
          <w:rFonts w:ascii="FrankRuehl" w:hAnsi="FrankRuehl" w:cs="FrankRuehl"/>
          <w:sz w:val="28"/>
          <w:szCs w:val="28"/>
          <w:rtl/>
        </w:rPr>
        <w:t xml:space="preserve"> </w:t>
      </w:r>
    </w:p>
    <w:p w14:paraId="72C6B074" w14:textId="77777777" w:rsidR="003525A2" w:rsidRPr="001A0B66" w:rsidRDefault="00792FF1" w:rsidP="00F307FB">
      <w:pPr>
        <w:pStyle w:val="a0"/>
        <w:spacing w:line="276" w:lineRule="auto"/>
        <w:ind w:firstLine="0"/>
        <w:rPr>
          <w:rFonts w:ascii="FrankRuehl" w:hAnsi="FrankRuehl" w:cs="FrankRuehl"/>
          <w:sz w:val="28"/>
          <w:szCs w:val="28"/>
          <w:rtl/>
        </w:rPr>
      </w:pPr>
      <w:r w:rsidRPr="001A0B66">
        <w:rPr>
          <w:rFonts w:ascii="FrankRuehl" w:hAnsi="FrankRuehl" w:cs="FrankRuehl"/>
          <w:b/>
          <w:bCs/>
          <w:sz w:val="28"/>
          <w:szCs w:val="28"/>
          <w:rtl/>
        </w:rPr>
        <w:t>מי מכריע</w:t>
      </w:r>
      <w:r w:rsidRPr="001A0B66">
        <w:rPr>
          <w:rFonts w:ascii="FrankRuehl" w:hAnsi="FrankRuehl" w:cs="FrankRuehl"/>
          <w:sz w:val="28"/>
          <w:szCs w:val="28"/>
          <w:rtl/>
        </w:rPr>
        <w:t xml:space="preserve"> בשאלה של עמידת המועמדת או המועמד במכלול התנאים המצטברים הנדרשים לכשירות לתפקיד של עורך דין מיוחד, ומי בוחר את עורכי הדין המיוחדים מבין המועמדים השונים? </w:t>
      </w:r>
      <w:r w:rsidR="006A18B5" w:rsidRPr="001A0B66">
        <w:rPr>
          <w:rFonts w:ascii="FrankRuehl" w:hAnsi="FrankRuehl" w:cs="FrankRuehl"/>
          <w:sz w:val="28"/>
          <w:szCs w:val="28"/>
          <w:rtl/>
        </w:rPr>
        <w:t>שני הגורמים המרכזיים</w:t>
      </w:r>
      <w:r w:rsidR="00A23D9E" w:rsidRPr="001A0B66">
        <w:rPr>
          <w:rFonts w:ascii="FrankRuehl" w:hAnsi="FrankRuehl" w:cs="FrankRuehl"/>
          <w:sz w:val="28"/>
          <w:szCs w:val="28"/>
          <w:rtl/>
        </w:rPr>
        <w:t xml:space="preserve"> בתהליך</w:t>
      </w:r>
      <w:r w:rsidR="006A18B5" w:rsidRPr="001A0B66">
        <w:rPr>
          <w:rFonts w:ascii="FrankRuehl" w:hAnsi="FrankRuehl" w:cs="FrankRuehl"/>
          <w:sz w:val="28"/>
          <w:szCs w:val="28"/>
          <w:rtl/>
        </w:rPr>
        <w:t xml:space="preserve">, </w:t>
      </w:r>
      <w:r w:rsidR="00C5564F" w:rsidRPr="001A0B66">
        <w:rPr>
          <w:rFonts w:ascii="FrankRuehl" w:hAnsi="FrankRuehl" w:cs="FrankRuehl"/>
          <w:sz w:val="28"/>
          <w:szCs w:val="28"/>
          <w:rtl/>
        </w:rPr>
        <w:t>נוסף ע</w:t>
      </w:r>
      <w:r w:rsidR="006A18B5" w:rsidRPr="001A0B66">
        <w:rPr>
          <w:rFonts w:ascii="FrankRuehl" w:hAnsi="FrankRuehl" w:cs="FrankRuehl"/>
          <w:sz w:val="28"/>
          <w:szCs w:val="28"/>
          <w:rtl/>
        </w:rPr>
        <w:t>ל</w:t>
      </w:r>
      <w:r w:rsidR="00C5564F" w:rsidRPr="001A0B66">
        <w:rPr>
          <w:rFonts w:ascii="FrankRuehl" w:hAnsi="FrankRuehl" w:cs="FrankRuehl"/>
          <w:sz w:val="28"/>
          <w:szCs w:val="28"/>
          <w:rtl/>
        </w:rPr>
        <w:t xml:space="preserve"> </w:t>
      </w:r>
      <w:r w:rsidR="006A18B5" w:rsidRPr="001A0B66">
        <w:rPr>
          <w:rFonts w:ascii="FrankRuehl" w:hAnsi="FrankRuehl" w:cs="FrankRuehl"/>
          <w:sz w:val="28"/>
          <w:szCs w:val="28"/>
          <w:rtl/>
        </w:rPr>
        <w:t xml:space="preserve">"גורמי הביטחון המוסמכים", הם הסנגור הציבורי הראשי </w:t>
      </w:r>
      <w:r w:rsidR="00C5564F" w:rsidRPr="001A0B66">
        <w:rPr>
          <w:rFonts w:ascii="FrankRuehl" w:hAnsi="FrankRuehl" w:cs="FrankRuehl"/>
          <w:sz w:val="28"/>
          <w:szCs w:val="28"/>
          <w:rtl/>
        </w:rPr>
        <w:t>(</w:t>
      </w:r>
      <w:r w:rsidR="006A18B5" w:rsidRPr="001A0B66">
        <w:rPr>
          <w:rFonts w:ascii="FrankRuehl" w:hAnsi="FrankRuehl" w:cs="FrankRuehl"/>
          <w:sz w:val="28"/>
          <w:szCs w:val="28"/>
          <w:rtl/>
        </w:rPr>
        <w:t>שמיד יוצג תפקידו בגיבוש המינוי לתפקיד</w:t>
      </w:r>
      <w:r w:rsidR="00AB7CDE" w:rsidRPr="001A0B66">
        <w:rPr>
          <w:rFonts w:ascii="FrankRuehl" w:hAnsi="FrankRuehl" w:cs="FrankRuehl"/>
          <w:sz w:val="28"/>
          <w:szCs w:val="28"/>
          <w:rtl/>
        </w:rPr>
        <w:t xml:space="preserve"> עורך הדין המיוחד</w:t>
      </w:r>
      <w:r w:rsidR="00C5564F" w:rsidRPr="001A0B66">
        <w:rPr>
          <w:rFonts w:ascii="FrankRuehl" w:hAnsi="FrankRuehl" w:cs="FrankRuehl"/>
          <w:sz w:val="28"/>
          <w:szCs w:val="28"/>
          <w:rtl/>
        </w:rPr>
        <w:t>)</w:t>
      </w:r>
      <w:r w:rsidR="006A18B5" w:rsidRPr="001A0B66">
        <w:rPr>
          <w:rFonts w:ascii="FrankRuehl" w:hAnsi="FrankRuehl" w:cs="FrankRuehl"/>
          <w:sz w:val="28"/>
          <w:szCs w:val="28"/>
          <w:rtl/>
        </w:rPr>
        <w:t xml:space="preserve"> והוועדה "לאישור עורכי דין מיוחדים שיהיו רשאים לייצג בהליכים חסויים"</w:t>
      </w:r>
      <w:r w:rsidR="00C5564F" w:rsidRPr="001A0B66">
        <w:rPr>
          <w:rFonts w:ascii="FrankRuehl" w:hAnsi="FrankRuehl" w:cs="FrankRuehl"/>
          <w:sz w:val="28"/>
          <w:szCs w:val="28"/>
          <w:rtl/>
        </w:rPr>
        <w:t>;</w:t>
      </w:r>
      <w:r w:rsidR="006A18B5" w:rsidRPr="001A0B66">
        <w:rPr>
          <w:rFonts w:ascii="FrankRuehl" w:hAnsi="FrankRuehl" w:cs="FrankRuehl"/>
          <w:sz w:val="28"/>
          <w:szCs w:val="28"/>
          <w:rtl/>
        </w:rPr>
        <w:t xml:space="preserve"> </w:t>
      </w:r>
      <w:r w:rsidR="00C5564F" w:rsidRPr="001A0B66">
        <w:rPr>
          <w:rFonts w:ascii="FrankRuehl" w:hAnsi="FrankRuehl" w:cs="FrankRuehl"/>
          <w:sz w:val="28"/>
          <w:szCs w:val="28"/>
          <w:rtl/>
        </w:rPr>
        <w:t xml:space="preserve">אלה </w:t>
      </w:r>
      <w:r w:rsidR="006A18B5" w:rsidRPr="001A0B66">
        <w:rPr>
          <w:rFonts w:ascii="FrankRuehl" w:hAnsi="FrankRuehl" w:cs="FrankRuehl"/>
          <w:sz w:val="28"/>
          <w:szCs w:val="28"/>
          <w:rtl/>
        </w:rPr>
        <w:t>חברי</w:t>
      </w:r>
      <w:r w:rsidR="00C5564F" w:rsidRPr="001A0B66">
        <w:rPr>
          <w:rFonts w:ascii="FrankRuehl" w:hAnsi="FrankRuehl" w:cs="FrankRuehl"/>
          <w:sz w:val="28"/>
          <w:szCs w:val="28"/>
          <w:rtl/>
        </w:rPr>
        <w:t xml:space="preserve"> </w:t>
      </w:r>
      <w:r w:rsidR="006A18B5" w:rsidRPr="001A0B66">
        <w:rPr>
          <w:rFonts w:ascii="FrankRuehl" w:hAnsi="FrankRuehl" w:cs="FrankRuehl"/>
          <w:sz w:val="28"/>
          <w:szCs w:val="28"/>
          <w:rtl/>
        </w:rPr>
        <w:t>ה</w:t>
      </w:r>
      <w:r w:rsidR="00C5564F" w:rsidRPr="001A0B66">
        <w:rPr>
          <w:rFonts w:ascii="FrankRuehl" w:hAnsi="FrankRuehl" w:cs="FrankRuehl"/>
          <w:sz w:val="28"/>
          <w:szCs w:val="28"/>
          <w:rtl/>
        </w:rPr>
        <w:t>וועדה</w:t>
      </w:r>
      <w:r w:rsidR="006A18B5" w:rsidRPr="001A0B66">
        <w:rPr>
          <w:rFonts w:ascii="FrankRuehl" w:hAnsi="FrankRuehl" w:cs="FrankRuehl"/>
          <w:sz w:val="28"/>
          <w:szCs w:val="28"/>
          <w:rtl/>
        </w:rPr>
        <w:t>:</w:t>
      </w:r>
    </w:p>
    <w:p w14:paraId="4B6C3545" w14:textId="77777777" w:rsidR="00D83A3D" w:rsidRPr="001A0B66" w:rsidRDefault="00D83A3D" w:rsidP="00F307FB">
      <w:pPr>
        <w:spacing w:line="276" w:lineRule="auto"/>
        <w:contextualSpacing/>
        <w:rPr>
          <w:rFonts w:ascii="FrankRuehl" w:hAnsi="FrankRuehl" w:cs="FrankRuehl"/>
          <w:sz w:val="28"/>
          <w:szCs w:val="28"/>
        </w:rPr>
      </w:pPr>
      <w:r w:rsidRPr="001A0B66">
        <w:rPr>
          <w:rFonts w:ascii="FrankRuehl" w:hAnsi="FrankRuehl" w:cs="FrankRuehl"/>
          <w:sz w:val="28"/>
          <w:szCs w:val="28"/>
          <w:rtl/>
        </w:rPr>
        <w:t>(1)</w:t>
      </w:r>
      <w:r w:rsidRPr="001A0B66">
        <w:rPr>
          <w:rFonts w:ascii="FrankRuehl" w:hAnsi="FrankRuehl" w:cs="FrankRuehl"/>
          <w:sz w:val="28"/>
          <w:szCs w:val="28"/>
          <w:rtl/>
        </w:rPr>
        <w:tab/>
        <w:t>נציג שימונה על ידי שר המשפטים, והוא יהיה יושב ראש הוועדה;</w:t>
      </w:r>
    </w:p>
    <w:p w14:paraId="11447DE6" w14:textId="77777777" w:rsidR="00D83A3D" w:rsidRPr="001A0B66" w:rsidRDefault="00D83A3D" w:rsidP="00F307FB">
      <w:pPr>
        <w:spacing w:line="276" w:lineRule="auto"/>
        <w:contextualSpacing/>
        <w:rPr>
          <w:rFonts w:ascii="FrankRuehl" w:hAnsi="FrankRuehl" w:cs="FrankRuehl"/>
          <w:sz w:val="28"/>
          <w:szCs w:val="28"/>
          <w:rtl/>
        </w:rPr>
      </w:pPr>
      <w:r w:rsidRPr="001A0B66">
        <w:rPr>
          <w:rFonts w:ascii="FrankRuehl" w:hAnsi="FrankRuehl" w:cs="FrankRuehl"/>
          <w:sz w:val="28"/>
          <w:szCs w:val="28"/>
          <w:rtl/>
        </w:rPr>
        <w:t>(2)</w:t>
      </w:r>
      <w:r w:rsidRPr="001A0B66">
        <w:rPr>
          <w:rFonts w:ascii="FrankRuehl" w:hAnsi="FrankRuehl" w:cs="FrankRuehl"/>
          <w:sz w:val="28"/>
          <w:szCs w:val="28"/>
          <w:rtl/>
        </w:rPr>
        <w:tab/>
        <w:t>נציג שימונה על ידי נשיא בית המשפט העליון;</w:t>
      </w:r>
    </w:p>
    <w:p w14:paraId="0B9E8E44" w14:textId="77777777" w:rsidR="00D83A3D" w:rsidRPr="001A0B66" w:rsidRDefault="00D83A3D" w:rsidP="00F307FB">
      <w:pPr>
        <w:spacing w:line="276" w:lineRule="auto"/>
        <w:contextualSpacing/>
        <w:rPr>
          <w:rFonts w:ascii="FrankRuehl" w:hAnsi="FrankRuehl" w:cs="FrankRuehl"/>
          <w:sz w:val="28"/>
          <w:szCs w:val="28"/>
          <w:rtl/>
        </w:rPr>
      </w:pPr>
      <w:r w:rsidRPr="001A0B66">
        <w:rPr>
          <w:rFonts w:ascii="FrankRuehl" w:hAnsi="FrankRuehl" w:cs="FrankRuehl"/>
          <w:sz w:val="28"/>
          <w:szCs w:val="28"/>
          <w:rtl/>
        </w:rPr>
        <w:t>(3)</w:t>
      </w:r>
      <w:r w:rsidRPr="001A0B66">
        <w:rPr>
          <w:rFonts w:ascii="FrankRuehl" w:hAnsi="FrankRuehl" w:cs="FrankRuehl"/>
          <w:sz w:val="28"/>
          <w:szCs w:val="28"/>
          <w:rtl/>
        </w:rPr>
        <w:tab/>
        <w:t>הסניגור הציבורי הארצי;</w:t>
      </w:r>
    </w:p>
    <w:p w14:paraId="5CC47289" w14:textId="77777777" w:rsidR="00D83A3D" w:rsidRPr="001A0B66" w:rsidRDefault="00D83A3D" w:rsidP="00F307FB">
      <w:pPr>
        <w:spacing w:line="276" w:lineRule="auto"/>
        <w:rPr>
          <w:rFonts w:ascii="FrankRuehl" w:hAnsi="FrankRuehl" w:cs="FrankRuehl"/>
          <w:sz w:val="28"/>
          <w:szCs w:val="28"/>
          <w:rtl/>
        </w:rPr>
      </w:pPr>
      <w:r w:rsidRPr="001A0B66">
        <w:rPr>
          <w:rFonts w:ascii="FrankRuehl" w:hAnsi="FrankRuehl" w:cs="FrankRuehl"/>
          <w:sz w:val="28"/>
          <w:szCs w:val="28"/>
          <w:rtl/>
        </w:rPr>
        <w:t>(4)</w:t>
      </w:r>
      <w:r w:rsidRPr="001A0B66">
        <w:rPr>
          <w:rFonts w:ascii="FrankRuehl" w:hAnsi="FrankRuehl" w:cs="FrankRuehl"/>
          <w:sz w:val="28"/>
          <w:szCs w:val="28"/>
          <w:rtl/>
        </w:rPr>
        <w:tab/>
        <w:t>נציג כוחות הביטחון שימונה על ידי ראש הממשלה ושר הביטחון.</w:t>
      </w:r>
      <w:r w:rsidR="00C5564F" w:rsidRPr="001A0B66">
        <w:rPr>
          <w:rStyle w:val="FootnoteReference"/>
          <w:rFonts w:ascii="FrankRuehl" w:hAnsi="FrankRuehl" w:cs="FrankRuehl"/>
          <w:sz w:val="28"/>
          <w:szCs w:val="28"/>
          <w:rtl/>
        </w:rPr>
        <w:footnoteReference w:id="55"/>
      </w:r>
    </w:p>
    <w:p w14:paraId="776AD592" w14:textId="77777777" w:rsidR="006A18B5" w:rsidRPr="001A0B66" w:rsidRDefault="00C5564F" w:rsidP="00F307FB">
      <w:pPr>
        <w:pStyle w:val="a1"/>
        <w:spacing w:line="276" w:lineRule="auto"/>
        <w:rPr>
          <w:rFonts w:ascii="FrankRuehl" w:hAnsi="FrankRuehl" w:cs="FrankRuehl"/>
          <w:sz w:val="28"/>
          <w:szCs w:val="28"/>
        </w:rPr>
      </w:pPr>
      <w:r w:rsidRPr="001A0B66">
        <w:rPr>
          <w:rFonts w:ascii="FrankRuehl" w:hAnsi="FrankRuehl" w:cs="FrankRuehl"/>
          <w:sz w:val="28"/>
          <w:szCs w:val="28"/>
          <w:rtl/>
        </w:rPr>
        <w:t>על פי ה</w:t>
      </w:r>
      <w:r w:rsidR="006A18B5" w:rsidRPr="001A0B66">
        <w:rPr>
          <w:rFonts w:ascii="FrankRuehl" w:hAnsi="FrankRuehl" w:cs="FrankRuehl"/>
          <w:sz w:val="28"/>
          <w:szCs w:val="28"/>
          <w:rtl/>
        </w:rPr>
        <w:t>הצעה, "הסניגור הציבורי הארצי ימליץ לוועדה על רשימת מועמדים</w:t>
      </w:r>
      <w:r w:rsidR="006A18B5" w:rsidRPr="001A0B66">
        <w:rPr>
          <w:rFonts w:ascii="FrankRuehl" w:hAnsi="FrankRuehl" w:cs="FrankRuehl"/>
          <w:sz w:val="28"/>
          <w:szCs w:val="28"/>
        </w:rPr>
        <w:t xml:space="preserve"> </w:t>
      </w:r>
      <w:r w:rsidR="006A18B5" w:rsidRPr="001A0B66">
        <w:rPr>
          <w:rFonts w:ascii="FrankRuehl" w:hAnsi="FrankRuehl" w:cs="FrankRuehl"/>
          <w:sz w:val="28"/>
          <w:szCs w:val="28"/>
          <w:rtl/>
        </w:rPr>
        <w:t>לתפקיד עורך דין מיוחד, העומדים בתנאי הכשירות הקבועים בסעיף 5";</w:t>
      </w:r>
      <w:r w:rsidRPr="001A0B66">
        <w:rPr>
          <w:rStyle w:val="FootnoteReference"/>
          <w:rFonts w:ascii="FrankRuehl" w:hAnsi="FrankRuehl" w:cs="FrankRuehl"/>
          <w:sz w:val="28"/>
          <w:szCs w:val="28"/>
          <w:rtl/>
        </w:rPr>
        <w:footnoteReference w:id="56"/>
      </w:r>
      <w:r w:rsidR="006A18B5" w:rsidRPr="001A0B66">
        <w:rPr>
          <w:rFonts w:ascii="FrankRuehl" w:hAnsi="FrankRuehl" w:cs="FrankRuehl"/>
          <w:sz w:val="28"/>
          <w:szCs w:val="28"/>
          <w:rtl/>
        </w:rPr>
        <w:t xml:space="preserve"> ואם "מצאה הוועדה כי עורך דין כשיר לשמש בתפקיד, וכי הוא בעל היכרות מספקת עם הליכי חקירה בעבירות ביטחון, תאשר את המלצת הסניגור ותמנה את המועמד כעורך דין מיוחד בהליכים חסויים".</w:t>
      </w:r>
      <w:r w:rsidRPr="001A0B66">
        <w:rPr>
          <w:rStyle w:val="FootnoteReference"/>
          <w:rFonts w:ascii="FrankRuehl" w:hAnsi="FrankRuehl" w:cs="FrankRuehl"/>
          <w:sz w:val="28"/>
          <w:szCs w:val="28"/>
          <w:rtl/>
        </w:rPr>
        <w:footnoteReference w:id="57"/>
      </w:r>
      <w:r w:rsidR="00201E4C" w:rsidRPr="001A0B66">
        <w:rPr>
          <w:rFonts w:ascii="FrankRuehl" w:hAnsi="FrankRuehl" w:cs="FrankRuehl"/>
          <w:sz w:val="28"/>
          <w:szCs w:val="28"/>
          <w:rtl/>
        </w:rPr>
        <w:t xml:space="preserve"> עוד צוין בהצעה</w:t>
      </w:r>
      <w:r w:rsidR="001710C9" w:rsidRPr="001A0B66">
        <w:rPr>
          <w:rFonts w:ascii="FrankRuehl" w:hAnsi="FrankRuehl" w:cs="FrankRuehl"/>
          <w:sz w:val="28"/>
          <w:szCs w:val="28"/>
          <w:rtl/>
        </w:rPr>
        <w:t xml:space="preserve"> כי "עורך הדין המיוחד הוא עובד לשכת הסניגוריה הציבורית",</w:t>
      </w:r>
      <w:r w:rsidR="00201E4C" w:rsidRPr="001A0B66">
        <w:rPr>
          <w:rStyle w:val="FootnoteReference"/>
          <w:rFonts w:ascii="FrankRuehl" w:hAnsi="FrankRuehl" w:cs="FrankRuehl"/>
          <w:sz w:val="28"/>
          <w:szCs w:val="28"/>
          <w:rtl/>
        </w:rPr>
        <w:footnoteReference w:id="58"/>
      </w:r>
      <w:r w:rsidR="001710C9" w:rsidRPr="001A0B66">
        <w:rPr>
          <w:rFonts w:ascii="FrankRuehl" w:hAnsi="FrankRuehl" w:cs="FrankRuehl"/>
          <w:sz w:val="28"/>
          <w:szCs w:val="28"/>
          <w:rtl/>
        </w:rPr>
        <w:t xml:space="preserve"> </w:t>
      </w:r>
      <w:r w:rsidR="00201E4C" w:rsidRPr="001A0B66">
        <w:rPr>
          <w:rFonts w:ascii="FrankRuehl" w:hAnsi="FrankRuehl" w:cs="FrankRuehl"/>
          <w:sz w:val="28"/>
          <w:szCs w:val="28"/>
          <w:rtl/>
        </w:rPr>
        <w:t>ו</w:t>
      </w:r>
      <w:r w:rsidR="001710C9" w:rsidRPr="001A0B66">
        <w:rPr>
          <w:rFonts w:ascii="FrankRuehl" w:hAnsi="FrankRuehl" w:cs="FrankRuehl"/>
          <w:sz w:val="28"/>
          <w:szCs w:val="28"/>
          <w:rtl/>
        </w:rPr>
        <w:t>כי "מעמדו של עורך הדין המיוחד יהיה כשל מעמדם של פרקליט המדינה; תנאי העסקתו ייקבעו בידי נציב שירות המדינה והממונה על השכר במשרד האוצר".</w:t>
      </w:r>
      <w:r w:rsidR="00201E4C" w:rsidRPr="001A0B66">
        <w:rPr>
          <w:rStyle w:val="FootnoteReference"/>
          <w:rFonts w:ascii="FrankRuehl" w:hAnsi="FrankRuehl" w:cs="FrankRuehl"/>
          <w:sz w:val="28"/>
          <w:szCs w:val="28"/>
          <w:rtl/>
        </w:rPr>
        <w:footnoteReference w:id="59"/>
      </w:r>
    </w:p>
    <w:p w14:paraId="58904024" w14:textId="77777777" w:rsidR="003525A2" w:rsidRPr="001A0B66" w:rsidRDefault="004F64BA" w:rsidP="00F307FB">
      <w:pPr>
        <w:pStyle w:val="a0"/>
        <w:spacing w:line="276" w:lineRule="auto"/>
        <w:ind w:firstLine="0"/>
        <w:rPr>
          <w:rFonts w:ascii="FrankRuehl" w:hAnsi="FrankRuehl" w:cs="FrankRuehl"/>
          <w:sz w:val="28"/>
          <w:szCs w:val="28"/>
          <w:rtl/>
        </w:rPr>
      </w:pPr>
      <w:r w:rsidRPr="001A0B66">
        <w:rPr>
          <w:rFonts w:ascii="FrankRuehl" w:hAnsi="FrankRuehl" w:cs="FrankRuehl"/>
          <w:b/>
          <w:bCs/>
          <w:sz w:val="28"/>
          <w:szCs w:val="28"/>
          <w:rtl/>
        </w:rPr>
        <w:t xml:space="preserve">ההצעה מכילה </w:t>
      </w:r>
      <w:r w:rsidR="001710C9" w:rsidRPr="001A0B66">
        <w:rPr>
          <w:rFonts w:ascii="FrankRuehl" w:hAnsi="FrankRuehl" w:cs="FrankRuehl"/>
          <w:b/>
          <w:bCs/>
          <w:sz w:val="28"/>
          <w:szCs w:val="28"/>
          <w:rtl/>
        </w:rPr>
        <w:t xml:space="preserve">עוד </w:t>
      </w:r>
      <w:r w:rsidR="00AB7CDE" w:rsidRPr="001A0B66">
        <w:rPr>
          <w:rFonts w:ascii="FrankRuehl" w:hAnsi="FrankRuehl" w:cs="FrankRuehl"/>
          <w:b/>
          <w:bCs/>
          <w:sz w:val="28"/>
          <w:szCs w:val="28"/>
          <w:rtl/>
        </w:rPr>
        <w:t>שלוש</w:t>
      </w:r>
      <w:r w:rsidR="001710C9" w:rsidRPr="001A0B66">
        <w:rPr>
          <w:rFonts w:ascii="FrankRuehl" w:hAnsi="FrankRuehl" w:cs="FrankRuehl"/>
          <w:b/>
          <w:bCs/>
          <w:sz w:val="28"/>
          <w:szCs w:val="28"/>
          <w:rtl/>
        </w:rPr>
        <w:t xml:space="preserve"> הוראות חשובות</w:t>
      </w:r>
      <w:r w:rsidR="001710C9" w:rsidRPr="001A0B66">
        <w:rPr>
          <w:rFonts w:ascii="FrankRuehl" w:hAnsi="FrankRuehl" w:cs="FrankRuehl"/>
          <w:sz w:val="28"/>
          <w:szCs w:val="28"/>
          <w:rtl/>
        </w:rPr>
        <w:t xml:space="preserve">. </w:t>
      </w:r>
      <w:r w:rsidRPr="001A0B66">
        <w:rPr>
          <w:rFonts w:ascii="FrankRuehl" w:hAnsi="FrankRuehl" w:cs="FrankRuehl"/>
          <w:sz w:val="28"/>
          <w:szCs w:val="28"/>
          <w:rtl/>
        </w:rPr>
        <w:t>ב</w:t>
      </w:r>
      <w:r w:rsidR="001710C9" w:rsidRPr="001A0B66">
        <w:rPr>
          <w:rFonts w:ascii="FrankRuehl" w:hAnsi="FrankRuehl" w:cs="FrankRuehl"/>
          <w:sz w:val="28"/>
          <w:szCs w:val="28"/>
          <w:rtl/>
        </w:rPr>
        <w:t>ס</w:t>
      </w:r>
      <w:r w:rsidR="00AA79E2" w:rsidRPr="001A0B66">
        <w:rPr>
          <w:rFonts w:ascii="FrankRuehl" w:hAnsi="FrankRuehl" w:cs="FrankRuehl"/>
          <w:sz w:val="28"/>
          <w:szCs w:val="28"/>
          <w:rtl/>
        </w:rPr>
        <w:t>עיף</w:t>
      </w:r>
      <w:r w:rsidR="001710C9" w:rsidRPr="001A0B66">
        <w:rPr>
          <w:rFonts w:ascii="FrankRuehl" w:hAnsi="FrankRuehl" w:cs="FrankRuehl"/>
          <w:sz w:val="28"/>
          <w:szCs w:val="28"/>
          <w:rtl/>
        </w:rPr>
        <w:t xml:space="preserve"> 9</w:t>
      </w:r>
      <w:r w:rsidRPr="001A0B66">
        <w:rPr>
          <w:rFonts w:ascii="FrankRuehl" w:hAnsi="FrankRuehl" w:cs="FrankRuehl"/>
          <w:sz w:val="28"/>
          <w:szCs w:val="28"/>
          <w:rtl/>
        </w:rPr>
        <w:t>,</w:t>
      </w:r>
      <w:r w:rsidR="001710C9" w:rsidRPr="001A0B66">
        <w:rPr>
          <w:rFonts w:ascii="FrankRuehl" w:hAnsi="FrankRuehl" w:cs="FrankRuehl"/>
          <w:sz w:val="28"/>
          <w:szCs w:val="28"/>
          <w:rtl/>
        </w:rPr>
        <w:t xml:space="preserve"> </w:t>
      </w:r>
      <w:r w:rsidRPr="001A0B66">
        <w:rPr>
          <w:rFonts w:ascii="FrankRuehl" w:hAnsi="FrankRuehl" w:cs="FrankRuehl"/>
          <w:sz w:val="28"/>
          <w:szCs w:val="28"/>
          <w:rtl/>
        </w:rPr>
        <w:t>הנושא את ה</w:t>
      </w:r>
      <w:r w:rsidR="001710C9" w:rsidRPr="001A0B66">
        <w:rPr>
          <w:rFonts w:ascii="FrankRuehl" w:hAnsi="FrankRuehl" w:cs="FrankRuehl"/>
          <w:sz w:val="28"/>
          <w:szCs w:val="28"/>
          <w:rtl/>
        </w:rPr>
        <w:t xml:space="preserve">כותרת "שמירת זכויות", </w:t>
      </w:r>
      <w:r w:rsidR="00F37DDB" w:rsidRPr="001A0B66">
        <w:rPr>
          <w:rFonts w:ascii="FrankRuehl" w:hAnsi="FrankRuehl" w:cs="FrankRuehl"/>
          <w:sz w:val="28"/>
          <w:szCs w:val="28"/>
          <w:rtl/>
        </w:rPr>
        <w:t>נכתב</w:t>
      </w:r>
      <w:r w:rsidR="001710C9" w:rsidRPr="001A0B66">
        <w:rPr>
          <w:rFonts w:ascii="FrankRuehl" w:hAnsi="FrankRuehl" w:cs="FrankRuehl"/>
          <w:sz w:val="28"/>
          <w:szCs w:val="28"/>
          <w:rtl/>
        </w:rPr>
        <w:t xml:space="preserve"> כי "אין באמור בחוק זה כדי לפגוע בזכויות האדם שנגדו ננקט ההליך החסוי לכל הליך או לכל טענה, לרבות זכותו להתנגד לעצם קיומו של ההליך החסוי"</w:t>
      </w:r>
      <w:r w:rsidR="00F37DDB" w:rsidRPr="001A0B66">
        <w:rPr>
          <w:rFonts w:ascii="FrankRuehl" w:hAnsi="FrankRuehl" w:cs="FrankRuehl"/>
          <w:sz w:val="28"/>
          <w:szCs w:val="28"/>
          <w:rtl/>
        </w:rPr>
        <w:t>,</w:t>
      </w:r>
      <w:r w:rsidR="00D514CA" w:rsidRPr="001A0B66">
        <w:rPr>
          <w:rFonts w:ascii="FrankRuehl" w:hAnsi="FrankRuehl" w:cs="FrankRuehl"/>
          <w:sz w:val="28"/>
          <w:szCs w:val="28"/>
          <w:rtl/>
        </w:rPr>
        <w:t xml:space="preserve"> </w:t>
      </w:r>
      <w:r w:rsidR="001710C9" w:rsidRPr="001A0B66">
        <w:rPr>
          <w:rFonts w:ascii="FrankRuehl" w:hAnsi="FrankRuehl" w:cs="FrankRuehl"/>
          <w:sz w:val="28"/>
          <w:szCs w:val="28"/>
          <w:rtl/>
        </w:rPr>
        <w:t>ו</w:t>
      </w:r>
      <w:r w:rsidR="00F37DDB" w:rsidRPr="001A0B66">
        <w:rPr>
          <w:rFonts w:ascii="FrankRuehl" w:hAnsi="FrankRuehl" w:cs="FrankRuehl"/>
          <w:sz w:val="28"/>
          <w:szCs w:val="28"/>
          <w:rtl/>
        </w:rPr>
        <w:t>ב</w:t>
      </w:r>
      <w:r w:rsidR="001710C9" w:rsidRPr="001A0B66">
        <w:rPr>
          <w:rFonts w:ascii="FrankRuehl" w:hAnsi="FrankRuehl" w:cs="FrankRuehl"/>
          <w:sz w:val="28"/>
          <w:szCs w:val="28"/>
          <w:rtl/>
        </w:rPr>
        <w:t>ס</w:t>
      </w:r>
      <w:r w:rsidR="00AA79E2" w:rsidRPr="001A0B66">
        <w:rPr>
          <w:rFonts w:ascii="FrankRuehl" w:hAnsi="FrankRuehl" w:cs="FrankRuehl"/>
          <w:sz w:val="28"/>
          <w:szCs w:val="28"/>
          <w:rtl/>
        </w:rPr>
        <w:t>עיף</w:t>
      </w:r>
      <w:r w:rsidR="001710C9" w:rsidRPr="001A0B66">
        <w:rPr>
          <w:rFonts w:ascii="FrankRuehl" w:hAnsi="FrankRuehl" w:cs="FrankRuehl"/>
          <w:sz w:val="28"/>
          <w:szCs w:val="28"/>
          <w:rtl/>
        </w:rPr>
        <w:t xml:space="preserve"> 4(ח) </w:t>
      </w:r>
      <w:r w:rsidR="00F37DDB" w:rsidRPr="001A0B66">
        <w:rPr>
          <w:rFonts w:ascii="FrankRuehl" w:hAnsi="FrankRuehl" w:cs="FrankRuehl"/>
          <w:sz w:val="28"/>
          <w:szCs w:val="28"/>
          <w:rtl/>
        </w:rPr>
        <w:t xml:space="preserve">מוענקת לעורך הדין המיוחד </w:t>
      </w:r>
      <w:r w:rsidR="001710C9" w:rsidRPr="001A0B66">
        <w:rPr>
          <w:rFonts w:ascii="FrankRuehl" w:hAnsi="FrankRuehl" w:cs="FrankRuehl"/>
          <w:sz w:val="28"/>
          <w:szCs w:val="28"/>
          <w:rtl/>
        </w:rPr>
        <w:t xml:space="preserve">חסינות חלקית: "עורך דין מיוחד לא יישא באחריות כלפי מי שנגדו ננקט ההליך החסוי"; </w:t>
      </w:r>
      <w:r w:rsidR="00F37DDB" w:rsidRPr="001A0B66">
        <w:rPr>
          <w:rFonts w:ascii="FrankRuehl" w:hAnsi="FrankRuehl" w:cs="FrankRuehl"/>
          <w:sz w:val="28"/>
          <w:szCs w:val="28"/>
          <w:rtl/>
        </w:rPr>
        <w:lastRenderedPageBreak/>
        <w:t>בד בבד מוטלת</w:t>
      </w:r>
      <w:r w:rsidR="005470A4" w:rsidRPr="001A0B66">
        <w:rPr>
          <w:rFonts w:ascii="FrankRuehl" w:hAnsi="FrankRuehl" w:cs="FrankRuehl"/>
          <w:sz w:val="28"/>
          <w:szCs w:val="28"/>
          <w:rtl/>
        </w:rPr>
        <w:t xml:space="preserve"> </w:t>
      </w:r>
      <w:r w:rsidR="001710C9" w:rsidRPr="001A0B66">
        <w:rPr>
          <w:rFonts w:ascii="FrankRuehl" w:hAnsi="FrankRuehl" w:cs="FrankRuehl"/>
          <w:sz w:val="28"/>
          <w:szCs w:val="28"/>
          <w:rtl/>
        </w:rPr>
        <w:t xml:space="preserve">אחריות </w:t>
      </w:r>
      <w:proofErr w:type="spellStart"/>
      <w:r w:rsidR="001710C9" w:rsidRPr="001A0B66">
        <w:rPr>
          <w:rFonts w:ascii="FrankRuehl" w:hAnsi="FrankRuehl" w:cs="FrankRuehl"/>
          <w:sz w:val="28"/>
          <w:szCs w:val="28"/>
          <w:rtl/>
        </w:rPr>
        <w:t>עונשית</w:t>
      </w:r>
      <w:proofErr w:type="spellEnd"/>
      <w:r w:rsidR="001710C9" w:rsidRPr="001A0B66">
        <w:rPr>
          <w:rFonts w:ascii="FrankRuehl" w:hAnsi="FrankRuehl" w:cs="FrankRuehl"/>
          <w:sz w:val="28"/>
          <w:szCs w:val="28"/>
          <w:rtl/>
        </w:rPr>
        <w:t xml:space="preserve"> על עורך הדין המיוחד אם יפר חובות סודיות ביחס למידע החסוי </w:t>
      </w:r>
      <w:r w:rsidR="00F37DDB" w:rsidRPr="001A0B66">
        <w:rPr>
          <w:rFonts w:ascii="FrankRuehl" w:hAnsi="FrankRuehl" w:cs="FrankRuehl"/>
          <w:sz w:val="28"/>
          <w:szCs w:val="28"/>
          <w:rtl/>
        </w:rPr>
        <w:t>שאליו נחשף</w:t>
      </w:r>
      <w:r w:rsidR="001710C9"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60"/>
      </w:r>
      <w:r w:rsidR="001710C9" w:rsidRPr="001A0B66">
        <w:rPr>
          <w:rFonts w:ascii="FrankRuehl" w:hAnsi="FrankRuehl" w:cs="FrankRuehl"/>
          <w:sz w:val="28"/>
          <w:szCs w:val="28"/>
          <w:rtl/>
        </w:rPr>
        <w:t xml:space="preserve"> </w:t>
      </w:r>
    </w:p>
    <w:p w14:paraId="30F999E4" w14:textId="77777777" w:rsidR="00C3488E" w:rsidRPr="001A0B66" w:rsidRDefault="00880DE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לפני שנפנה להצעת</w:t>
      </w:r>
      <w:r w:rsidR="009B0C5D" w:rsidRPr="001A0B66">
        <w:rPr>
          <w:rFonts w:ascii="FrankRuehl" w:hAnsi="FrankRuehl" w:cs="FrankRuehl"/>
          <w:sz w:val="28"/>
          <w:szCs w:val="28"/>
          <w:rtl/>
        </w:rPr>
        <w:t>נו</w:t>
      </w:r>
      <w:r w:rsidRPr="001A0B66">
        <w:rPr>
          <w:rFonts w:ascii="FrankRuehl" w:hAnsi="FrankRuehl" w:cs="FrankRuehl"/>
          <w:sz w:val="28"/>
          <w:szCs w:val="28"/>
          <w:rtl/>
        </w:rPr>
        <w:t xml:space="preserve"> לשיפור מודל עורך הדין המיוחד</w:t>
      </w:r>
      <w:r w:rsidR="009B0C5D" w:rsidRPr="001A0B66">
        <w:rPr>
          <w:rFonts w:ascii="FrankRuehl" w:hAnsi="FrankRuehl" w:cs="FrankRuehl"/>
          <w:sz w:val="28"/>
          <w:szCs w:val="28"/>
          <w:rtl/>
        </w:rPr>
        <w:t xml:space="preserve"> </w:t>
      </w:r>
      <w:r w:rsidR="00F37DDB" w:rsidRPr="001A0B66">
        <w:rPr>
          <w:rFonts w:ascii="FrankRuehl" w:hAnsi="FrankRuehl" w:cs="FrankRuehl"/>
          <w:sz w:val="28"/>
          <w:szCs w:val="28"/>
          <w:rtl/>
        </w:rPr>
        <w:t xml:space="preserve">על פי </w:t>
      </w:r>
      <w:r w:rsidR="001122C4" w:rsidRPr="001A0B66">
        <w:rPr>
          <w:rFonts w:ascii="FrankRuehl" w:hAnsi="FrankRuehl" w:cs="FrankRuehl"/>
          <w:sz w:val="28"/>
          <w:szCs w:val="28"/>
          <w:rtl/>
        </w:rPr>
        <w:t>הצעת החוק</w:t>
      </w:r>
      <w:r w:rsidRPr="001A0B66">
        <w:rPr>
          <w:rFonts w:ascii="FrankRuehl" w:hAnsi="FrankRuehl" w:cs="FrankRuehl"/>
          <w:sz w:val="28"/>
          <w:szCs w:val="28"/>
          <w:rtl/>
        </w:rPr>
        <w:t xml:space="preserve">, </w:t>
      </w:r>
      <w:r w:rsidR="00346C80" w:rsidRPr="001A0B66">
        <w:rPr>
          <w:rFonts w:ascii="FrankRuehl" w:hAnsi="FrankRuehl" w:cs="FrankRuehl"/>
          <w:sz w:val="28"/>
          <w:szCs w:val="28"/>
          <w:rtl/>
        </w:rPr>
        <w:t xml:space="preserve">נבקש </w:t>
      </w:r>
      <w:r w:rsidRPr="001A0B66">
        <w:rPr>
          <w:rFonts w:ascii="FrankRuehl" w:hAnsi="FrankRuehl" w:cs="FrankRuehl"/>
          <w:sz w:val="28"/>
          <w:szCs w:val="28"/>
          <w:rtl/>
        </w:rPr>
        <w:t>להדגים את</w:t>
      </w:r>
      <w:r w:rsidR="009B0C5D" w:rsidRPr="001A0B66">
        <w:rPr>
          <w:rFonts w:ascii="FrankRuehl" w:hAnsi="FrankRuehl" w:cs="FrankRuehl"/>
          <w:sz w:val="28"/>
          <w:szCs w:val="28"/>
          <w:rtl/>
        </w:rPr>
        <w:t xml:space="preserve"> חשיבותו של </w:t>
      </w:r>
      <w:r w:rsidR="00E25C51" w:rsidRPr="001A0B66">
        <w:rPr>
          <w:rFonts w:ascii="FrankRuehl" w:hAnsi="FrankRuehl" w:cs="FrankRuehl"/>
          <w:sz w:val="28"/>
          <w:szCs w:val="28"/>
          <w:rtl/>
        </w:rPr>
        <w:t>המודל</w:t>
      </w:r>
      <w:r w:rsidR="009B0C5D" w:rsidRPr="001A0B66">
        <w:rPr>
          <w:rFonts w:ascii="FrankRuehl" w:hAnsi="FrankRuehl" w:cs="FrankRuehl"/>
          <w:sz w:val="28"/>
          <w:szCs w:val="28"/>
          <w:rtl/>
        </w:rPr>
        <w:t xml:space="preserve"> – בין </w:t>
      </w:r>
      <w:r w:rsidR="001122C4" w:rsidRPr="001A0B66">
        <w:rPr>
          <w:rFonts w:ascii="FrankRuehl" w:hAnsi="FrankRuehl" w:cs="FrankRuehl"/>
          <w:sz w:val="28"/>
          <w:szCs w:val="28"/>
          <w:rtl/>
        </w:rPr>
        <w:t>במתווה ה</w:t>
      </w:r>
      <w:r w:rsidR="009B0C5D" w:rsidRPr="001A0B66">
        <w:rPr>
          <w:rFonts w:ascii="FrankRuehl" w:hAnsi="FrankRuehl" w:cs="FrankRuehl"/>
          <w:sz w:val="28"/>
          <w:szCs w:val="28"/>
          <w:rtl/>
        </w:rPr>
        <w:t>מוצע בהצעת החוק ובין ב</w:t>
      </w:r>
      <w:r w:rsidR="001122C4" w:rsidRPr="001A0B66">
        <w:rPr>
          <w:rFonts w:ascii="FrankRuehl" w:hAnsi="FrankRuehl" w:cs="FrankRuehl"/>
          <w:sz w:val="28"/>
          <w:szCs w:val="28"/>
          <w:rtl/>
        </w:rPr>
        <w:t xml:space="preserve">זה </w:t>
      </w:r>
      <w:r w:rsidR="00F37DDB" w:rsidRPr="001A0B66">
        <w:rPr>
          <w:rFonts w:ascii="FrankRuehl" w:hAnsi="FrankRuehl" w:cs="FrankRuehl"/>
          <w:sz w:val="28"/>
          <w:szCs w:val="28"/>
          <w:rtl/>
        </w:rPr>
        <w:t>שנציע אנו</w:t>
      </w:r>
      <w:r w:rsidR="009B0C5D" w:rsidRPr="001A0B66">
        <w:rPr>
          <w:rFonts w:ascii="FrankRuehl" w:hAnsi="FrankRuehl" w:cs="FrankRuehl"/>
          <w:sz w:val="28"/>
          <w:szCs w:val="28"/>
          <w:rtl/>
        </w:rPr>
        <w:t xml:space="preserve"> –</w:t>
      </w:r>
      <w:r w:rsidR="00F37DDB" w:rsidRPr="001A0B66">
        <w:rPr>
          <w:rFonts w:ascii="FrankRuehl" w:hAnsi="FrankRuehl" w:cs="FrankRuehl"/>
          <w:sz w:val="28"/>
          <w:szCs w:val="28"/>
          <w:rtl/>
        </w:rPr>
        <w:t xml:space="preserve"> </w:t>
      </w:r>
      <w:r w:rsidRPr="001A0B66">
        <w:rPr>
          <w:rFonts w:ascii="FrankRuehl" w:hAnsi="FrankRuehl" w:cs="FrankRuehl"/>
          <w:sz w:val="28"/>
          <w:szCs w:val="28"/>
          <w:rtl/>
        </w:rPr>
        <w:t>באמצעות מקרה ידוע מהפסיקה</w:t>
      </w:r>
      <w:r w:rsidR="00CD5EB2">
        <w:rPr>
          <w:rFonts w:ascii="FrankRuehl" w:hAnsi="FrankRuehl" w:cs="FrankRuehl"/>
          <w:sz w:val="28"/>
          <w:szCs w:val="28"/>
          <w:rtl/>
        </w:rPr>
        <w:t>:</w:t>
      </w:r>
      <w:r w:rsidR="009B0C5D" w:rsidRPr="001A0B66">
        <w:rPr>
          <w:rFonts w:ascii="FrankRuehl" w:hAnsi="FrankRuehl" w:cs="FrankRuehl"/>
          <w:sz w:val="28"/>
          <w:szCs w:val="28"/>
          <w:rtl/>
        </w:rPr>
        <w:t xml:space="preserve"> </w:t>
      </w:r>
      <w:r w:rsidR="00CD5EB2" w:rsidRPr="001A0B66">
        <w:rPr>
          <w:rFonts w:ascii="FrankRuehl" w:hAnsi="FrankRuehl" w:cs="FrankRuehl"/>
          <w:sz w:val="28"/>
          <w:szCs w:val="28"/>
          <w:rtl/>
        </w:rPr>
        <w:t xml:space="preserve">פרשת </w:t>
      </w:r>
      <w:r w:rsidR="00CD5EB2" w:rsidRPr="001A0B66">
        <w:rPr>
          <w:rFonts w:ascii="FrankRuehl" w:hAnsi="FrankRuehl" w:cs="FrankRuehl"/>
          <w:b/>
          <w:bCs/>
          <w:sz w:val="28"/>
          <w:szCs w:val="28"/>
          <w:rtl/>
        </w:rPr>
        <w:t>אבו סעדה</w:t>
      </w:r>
      <w:r w:rsidR="00CD5EB2">
        <w:rPr>
          <w:rFonts w:ascii="FrankRuehl" w:hAnsi="FrankRuehl" w:cs="FrankRuehl"/>
          <w:sz w:val="28"/>
          <w:szCs w:val="28"/>
          <w:rtl/>
        </w:rPr>
        <w:t>.</w:t>
      </w:r>
      <w:r w:rsidR="00CD5EB2" w:rsidRPr="001A0B66">
        <w:rPr>
          <w:rFonts w:ascii="FrankRuehl" w:hAnsi="FrankRuehl" w:cs="FrankRuehl"/>
          <w:sz w:val="28"/>
          <w:szCs w:val="28"/>
          <w:vertAlign w:val="superscript"/>
          <w:rtl/>
        </w:rPr>
        <w:footnoteReference w:id="61"/>
      </w:r>
    </w:p>
    <w:p w14:paraId="7291A07C" w14:textId="77777777" w:rsidR="00880DED" w:rsidRPr="001A0B66" w:rsidRDefault="00154AE8"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פרקליט בפרקליטות</w:t>
      </w:r>
      <w:r w:rsidR="00880DED" w:rsidRPr="001A0B66">
        <w:rPr>
          <w:rFonts w:ascii="FrankRuehl" w:hAnsi="FrankRuehl" w:cs="FrankRuehl"/>
          <w:sz w:val="28"/>
          <w:szCs w:val="28"/>
          <w:rtl/>
        </w:rPr>
        <w:t xml:space="preserve"> המדינה, </w:t>
      </w:r>
      <w:r w:rsidRPr="001A0B66">
        <w:rPr>
          <w:rFonts w:ascii="FrankRuehl" w:hAnsi="FrankRuehl" w:cs="FrankRuehl"/>
          <w:sz w:val="28"/>
          <w:szCs w:val="28"/>
          <w:rtl/>
        </w:rPr>
        <w:t xml:space="preserve">שהתכונן </w:t>
      </w:r>
      <w:r w:rsidR="00880DED" w:rsidRPr="001A0B66">
        <w:rPr>
          <w:rFonts w:ascii="FrankRuehl" w:hAnsi="FrankRuehl" w:cs="FrankRuehl"/>
          <w:sz w:val="28"/>
          <w:szCs w:val="28"/>
          <w:rtl/>
        </w:rPr>
        <w:t>ל</w:t>
      </w:r>
      <w:r w:rsidR="005470A4" w:rsidRPr="001A0B66">
        <w:rPr>
          <w:rFonts w:ascii="FrankRuehl" w:hAnsi="FrankRuehl" w:cs="FrankRuehl"/>
          <w:sz w:val="28"/>
          <w:szCs w:val="28"/>
          <w:rtl/>
        </w:rPr>
        <w:t>תשובת המדינה ל</w:t>
      </w:r>
      <w:r w:rsidR="00880DED" w:rsidRPr="001A0B66">
        <w:rPr>
          <w:rFonts w:ascii="FrankRuehl" w:hAnsi="FrankRuehl" w:cs="FrankRuehl"/>
          <w:sz w:val="28"/>
          <w:szCs w:val="28"/>
          <w:rtl/>
        </w:rPr>
        <w:t>ערעור</w:t>
      </w:r>
      <w:r w:rsidR="00A151B5" w:rsidRPr="001A0B66">
        <w:rPr>
          <w:rFonts w:ascii="FrankRuehl" w:hAnsi="FrankRuehl" w:cs="FrankRuehl"/>
          <w:sz w:val="28"/>
          <w:szCs w:val="28"/>
          <w:rtl/>
        </w:rPr>
        <w:t xml:space="preserve"> </w:t>
      </w:r>
      <w:r w:rsidR="005470A4" w:rsidRPr="001A0B66">
        <w:rPr>
          <w:rFonts w:ascii="FrankRuehl" w:hAnsi="FrankRuehl" w:cs="FrankRuehl"/>
          <w:sz w:val="28"/>
          <w:szCs w:val="28"/>
          <w:rtl/>
        </w:rPr>
        <w:t xml:space="preserve">שהוגש נגדה </w:t>
      </w:r>
      <w:r w:rsidR="00A151B5" w:rsidRPr="001A0B66">
        <w:rPr>
          <w:rFonts w:ascii="FrankRuehl" w:hAnsi="FrankRuehl" w:cs="FrankRuehl"/>
          <w:sz w:val="28"/>
          <w:szCs w:val="28"/>
          <w:rtl/>
        </w:rPr>
        <w:t xml:space="preserve">על הרשעת אדם ברצח, </w:t>
      </w:r>
      <w:r w:rsidR="00880DED" w:rsidRPr="001A0B66">
        <w:rPr>
          <w:rFonts w:ascii="FrankRuehl" w:hAnsi="FrankRuehl" w:cs="FrankRuehl"/>
          <w:sz w:val="28"/>
          <w:szCs w:val="28"/>
          <w:rtl/>
        </w:rPr>
        <w:t xml:space="preserve">מצא כשל </w:t>
      </w:r>
      <w:r w:rsidR="00CD5EB2">
        <w:rPr>
          <w:rFonts w:ascii="FrankRuehl" w:hAnsi="FrankRuehl" w:cs="FrankRuehl"/>
          <w:sz w:val="28"/>
          <w:szCs w:val="28"/>
          <w:rtl/>
        </w:rPr>
        <w:t>מזעזע</w:t>
      </w:r>
      <w:r w:rsidR="00CD5EB2" w:rsidRPr="001A0B66">
        <w:rPr>
          <w:rFonts w:ascii="FrankRuehl" w:hAnsi="FrankRuehl" w:cs="FrankRuehl"/>
          <w:sz w:val="28"/>
          <w:szCs w:val="28"/>
          <w:rtl/>
        </w:rPr>
        <w:t xml:space="preserve"> </w:t>
      </w:r>
      <w:r w:rsidR="00A151B5" w:rsidRPr="001A0B66">
        <w:rPr>
          <w:rFonts w:ascii="FrankRuehl" w:hAnsi="FrankRuehl" w:cs="FrankRuehl"/>
          <w:sz w:val="28"/>
          <w:szCs w:val="28"/>
          <w:rtl/>
        </w:rPr>
        <w:t xml:space="preserve">בפעולתם של </w:t>
      </w:r>
      <w:r w:rsidR="00880DED" w:rsidRPr="001A0B66">
        <w:rPr>
          <w:rFonts w:ascii="FrankRuehl" w:hAnsi="FrankRuehl" w:cs="FrankRuehl"/>
          <w:sz w:val="28"/>
          <w:szCs w:val="28"/>
          <w:rtl/>
        </w:rPr>
        <w:t xml:space="preserve">כל אחד מגורמי הבקרה </w:t>
      </w:r>
      <w:r w:rsidR="005470A4" w:rsidRPr="001A0B66">
        <w:rPr>
          <w:rFonts w:ascii="FrankRuehl" w:hAnsi="FrankRuehl" w:cs="FrankRuehl"/>
          <w:sz w:val="28"/>
          <w:szCs w:val="28"/>
          <w:rtl/>
        </w:rPr>
        <w:t xml:space="preserve">הקיימים לכאורה </w:t>
      </w:r>
      <w:r w:rsidR="00880DED" w:rsidRPr="001A0B66">
        <w:rPr>
          <w:rFonts w:ascii="FrankRuehl" w:hAnsi="FrankRuehl" w:cs="FrankRuehl"/>
          <w:sz w:val="28"/>
          <w:szCs w:val="28"/>
          <w:rtl/>
        </w:rPr>
        <w:t>ב</w:t>
      </w:r>
      <w:r w:rsidR="005470A4" w:rsidRPr="001A0B66">
        <w:rPr>
          <w:rFonts w:ascii="FrankRuehl" w:hAnsi="FrankRuehl" w:cs="FrankRuehl"/>
          <w:sz w:val="28"/>
          <w:szCs w:val="28"/>
          <w:rtl/>
        </w:rPr>
        <w:t>עת שימוש בראיות חסויות</w:t>
      </w:r>
      <w:r w:rsidR="009E62EF" w:rsidRPr="001A0B66">
        <w:rPr>
          <w:rFonts w:ascii="FrankRuehl" w:hAnsi="FrankRuehl" w:cs="FrankRuehl"/>
          <w:sz w:val="28"/>
          <w:szCs w:val="28"/>
          <w:rtl/>
        </w:rPr>
        <w:t xml:space="preserve">, ובעקבותיו </w:t>
      </w:r>
      <w:r w:rsidR="00CD5EB2">
        <w:rPr>
          <w:rFonts w:ascii="FrankRuehl" w:hAnsi="FrankRuehl" w:cs="FrankRuehl"/>
          <w:sz w:val="28"/>
          <w:szCs w:val="28"/>
          <w:rtl/>
        </w:rPr>
        <w:t xml:space="preserve">הפך </w:t>
      </w:r>
      <w:r w:rsidR="009E62EF" w:rsidRPr="001A0B66">
        <w:rPr>
          <w:rFonts w:ascii="FrankRuehl" w:hAnsi="FrankRuehl" w:cs="FrankRuehl"/>
          <w:sz w:val="28"/>
          <w:szCs w:val="28"/>
          <w:rtl/>
        </w:rPr>
        <w:t>בית המשפט העליון</w:t>
      </w:r>
      <w:r w:rsidR="00CD5EB2">
        <w:rPr>
          <w:rFonts w:ascii="FrankRuehl" w:hAnsi="FrankRuehl" w:cs="FrankRuehl"/>
          <w:sz w:val="28"/>
          <w:szCs w:val="28"/>
          <w:rtl/>
        </w:rPr>
        <w:t xml:space="preserve"> את ההרשעה</w:t>
      </w:r>
      <w:r w:rsidR="00880DED" w:rsidRPr="001A0B66">
        <w:rPr>
          <w:rFonts w:ascii="FrankRuehl" w:hAnsi="FrankRuehl" w:cs="FrankRuehl"/>
          <w:sz w:val="28"/>
          <w:szCs w:val="28"/>
          <w:rtl/>
        </w:rPr>
        <w:t xml:space="preserve">. </w:t>
      </w:r>
      <w:r w:rsidR="00035A7E" w:rsidRPr="001A0B66">
        <w:rPr>
          <w:rFonts w:ascii="FrankRuehl" w:hAnsi="FrankRuehl" w:cs="FrankRuehl"/>
          <w:sz w:val="28"/>
          <w:szCs w:val="28"/>
          <w:rtl/>
        </w:rPr>
        <w:t>מדובר בארבעה גורמים</w:t>
      </w:r>
      <w:r w:rsidR="005470A4" w:rsidRPr="001A0B66">
        <w:rPr>
          <w:rFonts w:ascii="FrankRuehl" w:hAnsi="FrankRuehl" w:cs="FrankRuehl"/>
          <w:sz w:val="28"/>
          <w:szCs w:val="28"/>
          <w:rtl/>
        </w:rPr>
        <w:t xml:space="preserve"> אנושיים</w:t>
      </w:r>
      <w:r w:rsidR="00880DED" w:rsidRPr="001A0B66">
        <w:rPr>
          <w:rFonts w:ascii="FrankRuehl" w:hAnsi="FrankRuehl" w:cs="FrankRuehl"/>
          <w:sz w:val="28"/>
          <w:szCs w:val="28"/>
          <w:rtl/>
        </w:rPr>
        <w:t xml:space="preserve">: </w:t>
      </w:r>
      <w:r w:rsidR="00E73FEF" w:rsidRPr="001A0B66">
        <w:rPr>
          <w:rFonts w:ascii="FrankRuehl" w:hAnsi="FrankRuehl" w:cs="FrankRuehl"/>
          <w:sz w:val="28"/>
          <w:szCs w:val="28"/>
          <w:rtl/>
        </w:rPr>
        <w:t xml:space="preserve">א. </w:t>
      </w:r>
      <w:r w:rsidR="00880DED" w:rsidRPr="001A0B66">
        <w:rPr>
          <w:rFonts w:ascii="FrankRuehl" w:hAnsi="FrankRuehl" w:cs="FrankRuehl"/>
          <w:sz w:val="28"/>
          <w:szCs w:val="28"/>
          <w:rtl/>
        </w:rPr>
        <w:t>הבקרה הפנימית של השב"כ</w:t>
      </w:r>
      <w:r w:rsidR="00A151B5" w:rsidRPr="001A0B66">
        <w:rPr>
          <w:rFonts w:ascii="FrankRuehl" w:hAnsi="FrankRuehl" w:cs="FrankRuehl"/>
          <w:sz w:val="28"/>
          <w:szCs w:val="28"/>
          <w:rtl/>
        </w:rPr>
        <w:t xml:space="preserve"> </w:t>
      </w:r>
      <w:r w:rsidR="00035A7E" w:rsidRPr="001A0B66">
        <w:rPr>
          <w:rFonts w:ascii="FrankRuehl" w:hAnsi="FrankRuehl" w:cs="FrankRuehl"/>
          <w:sz w:val="28"/>
          <w:szCs w:val="28"/>
          <w:rtl/>
        </w:rPr>
        <w:t>בטרם ימ</w:t>
      </w:r>
      <w:r w:rsidR="00A151B5" w:rsidRPr="001A0B66">
        <w:rPr>
          <w:rFonts w:ascii="FrankRuehl" w:hAnsi="FrankRuehl" w:cs="FrankRuehl"/>
          <w:sz w:val="28"/>
          <w:szCs w:val="28"/>
          <w:rtl/>
        </w:rPr>
        <w:t xml:space="preserve">ליץ על </w:t>
      </w:r>
      <w:r w:rsidR="00E60AFE" w:rsidRPr="001A0B66">
        <w:rPr>
          <w:rFonts w:ascii="FrankRuehl" w:hAnsi="FrankRuehl" w:cs="FrankRuehl"/>
          <w:sz w:val="28"/>
          <w:szCs w:val="28"/>
          <w:rtl/>
        </w:rPr>
        <w:t>שימוש ב</w:t>
      </w:r>
      <w:r w:rsidR="009B0C5D" w:rsidRPr="001A0B66">
        <w:rPr>
          <w:rFonts w:ascii="FrankRuehl" w:hAnsi="FrankRuehl" w:cs="FrankRuehl"/>
          <w:sz w:val="28"/>
          <w:szCs w:val="28"/>
          <w:rtl/>
        </w:rPr>
        <w:t>ראיות חסויות</w:t>
      </w:r>
      <w:r w:rsidR="00035A7E" w:rsidRPr="001A0B66">
        <w:rPr>
          <w:rFonts w:ascii="FrankRuehl" w:hAnsi="FrankRuehl" w:cs="FrankRuehl"/>
          <w:sz w:val="28"/>
          <w:szCs w:val="28"/>
          <w:rtl/>
        </w:rPr>
        <w:t xml:space="preserve"> כלפי אדם מסוים</w:t>
      </w:r>
      <w:r w:rsidR="00880DED" w:rsidRPr="001A0B66">
        <w:rPr>
          <w:rFonts w:ascii="FrankRuehl" w:hAnsi="FrankRuehl" w:cs="FrankRuehl"/>
          <w:sz w:val="28"/>
          <w:szCs w:val="28"/>
          <w:rtl/>
        </w:rPr>
        <w:t>;</w:t>
      </w:r>
      <w:r w:rsidR="00A151B5" w:rsidRPr="001A0B66">
        <w:rPr>
          <w:rFonts w:ascii="FrankRuehl" w:hAnsi="FrankRuehl" w:cs="FrankRuehl"/>
          <w:sz w:val="28"/>
          <w:szCs w:val="28"/>
          <w:rtl/>
        </w:rPr>
        <w:t xml:space="preserve"> </w:t>
      </w:r>
      <w:r w:rsidR="00E73FEF" w:rsidRPr="001A0B66">
        <w:rPr>
          <w:rFonts w:ascii="FrankRuehl" w:hAnsi="FrankRuehl" w:cs="FrankRuehl"/>
          <w:sz w:val="28"/>
          <w:szCs w:val="28"/>
          <w:rtl/>
        </w:rPr>
        <w:t xml:space="preserve">ב. </w:t>
      </w:r>
      <w:r w:rsidR="00A151B5" w:rsidRPr="001A0B66">
        <w:rPr>
          <w:rFonts w:ascii="FrankRuehl" w:hAnsi="FrankRuehl" w:cs="FrankRuehl"/>
          <w:sz w:val="28"/>
          <w:szCs w:val="28"/>
          <w:rtl/>
        </w:rPr>
        <w:t>ה</w:t>
      </w:r>
      <w:r w:rsidR="00880DED" w:rsidRPr="001A0B66">
        <w:rPr>
          <w:rFonts w:ascii="FrankRuehl" w:hAnsi="FrankRuehl" w:cs="FrankRuehl"/>
          <w:sz w:val="28"/>
          <w:szCs w:val="28"/>
          <w:rtl/>
        </w:rPr>
        <w:t>בקר</w:t>
      </w:r>
      <w:r w:rsidR="00A151B5" w:rsidRPr="001A0B66">
        <w:rPr>
          <w:rFonts w:ascii="FrankRuehl" w:hAnsi="FrankRuehl" w:cs="FrankRuehl"/>
          <w:sz w:val="28"/>
          <w:szCs w:val="28"/>
          <w:rtl/>
        </w:rPr>
        <w:t>ה</w:t>
      </w:r>
      <w:r w:rsidR="00880DED" w:rsidRPr="001A0B66">
        <w:rPr>
          <w:rFonts w:ascii="FrankRuehl" w:hAnsi="FrankRuehl" w:cs="FrankRuehl"/>
          <w:sz w:val="28"/>
          <w:szCs w:val="28"/>
          <w:rtl/>
        </w:rPr>
        <w:t xml:space="preserve"> </w:t>
      </w:r>
      <w:r w:rsidR="00A151B5" w:rsidRPr="001A0B66">
        <w:rPr>
          <w:rFonts w:ascii="FrankRuehl" w:hAnsi="FrankRuehl" w:cs="FrankRuehl"/>
          <w:sz w:val="28"/>
          <w:szCs w:val="28"/>
          <w:rtl/>
        </w:rPr>
        <w:t xml:space="preserve">של </w:t>
      </w:r>
      <w:r w:rsidR="00880DED" w:rsidRPr="001A0B66">
        <w:rPr>
          <w:rFonts w:ascii="FrankRuehl" w:hAnsi="FrankRuehl" w:cs="FrankRuehl"/>
          <w:sz w:val="28"/>
          <w:szCs w:val="28"/>
          <w:rtl/>
        </w:rPr>
        <w:t>מוציא</w:t>
      </w:r>
      <w:r w:rsidRPr="001A0B66">
        <w:rPr>
          <w:rFonts w:ascii="FrankRuehl" w:hAnsi="FrankRuehl" w:cs="FrankRuehl"/>
          <w:sz w:val="28"/>
          <w:szCs w:val="28"/>
          <w:rtl/>
        </w:rPr>
        <w:t xml:space="preserve">י </w:t>
      </w:r>
      <w:r w:rsidR="00880DED" w:rsidRPr="001A0B66">
        <w:rPr>
          <w:rFonts w:ascii="FrankRuehl" w:hAnsi="FrankRuehl" w:cs="FrankRuehl"/>
          <w:sz w:val="28"/>
          <w:szCs w:val="28"/>
          <w:rtl/>
        </w:rPr>
        <w:t>צו</w:t>
      </w:r>
      <w:r w:rsidR="00A151B5" w:rsidRPr="001A0B66">
        <w:rPr>
          <w:rFonts w:ascii="FrankRuehl" w:hAnsi="FrankRuehl" w:cs="FrankRuehl"/>
          <w:sz w:val="28"/>
          <w:szCs w:val="28"/>
          <w:rtl/>
        </w:rPr>
        <w:t xml:space="preserve"> מכוח סמכות </w:t>
      </w:r>
      <w:r w:rsidR="00E73FEF" w:rsidRPr="001A0B66">
        <w:rPr>
          <w:rFonts w:ascii="FrankRuehl" w:hAnsi="FrankRuehl" w:cs="FrankRuehl"/>
          <w:sz w:val="28"/>
          <w:szCs w:val="28"/>
          <w:rtl/>
        </w:rPr>
        <w:t>הנשענת על ראיות חסויות</w:t>
      </w:r>
      <w:r w:rsidR="00880DED" w:rsidRPr="001A0B66">
        <w:rPr>
          <w:rFonts w:ascii="FrankRuehl" w:hAnsi="FrankRuehl" w:cs="FrankRuehl"/>
          <w:sz w:val="28"/>
          <w:szCs w:val="28"/>
          <w:rtl/>
        </w:rPr>
        <w:t xml:space="preserve"> – שר הביטחון, המפקד הצבאי בשטחים וכדומה</w:t>
      </w:r>
      <w:r w:rsidRPr="001A0B66">
        <w:rPr>
          <w:rFonts w:ascii="FrankRuehl" w:hAnsi="FrankRuehl" w:cs="FrankRuehl"/>
          <w:sz w:val="28"/>
          <w:szCs w:val="28"/>
          <w:rtl/>
        </w:rPr>
        <w:t xml:space="preserve"> – </w:t>
      </w:r>
      <w:r w:rsidR="005470A4" w:rsidRPr="001A0B66">
        <w:rPr>
          <w:rFonts w:ascii="FrankRuehl" w:hAnsi="FrankRuehl" w:cs="FrankRuehl"/>
          <w:sz w:val="28"/>
          <w:szCs w:val="28"/>
          <w:rtl/>
        </w:rPr>
        <w:t>בטרם יחתמו על צו שכזה</w:t>
      </w:r>
      <w:r w:rsidR="00F37DDB" w:rsidRPr="001A0B66">
        <w:rPr>
          <w:rFonts w:ascii="FrankRuehl" w:hAnsi="FrankRuehl" w:cs="FrankRuehl"/>
          <w:sz w:val="28"/>
          <w:szCs w:val="28"/>
          <w:rtl/>
        </w:rPr>
        <w:t>,</w:t>
      </w:r>
      <w:r w:rsidR="005470A4" w:rsidRPr="001A0B66">
        <w:rPr>
          <w:rFonts w:ascii="FrankRuehl" w:hAnsi="FrankRuehl" w:cs="FrankRuehl"/>
          <w:sz w:val="28"/>
          <w:szCs w:val="28"/>
          <w:rtl/>
        </w:rPr>
        <w:t xml:space="preserve"> </w:t>
      </w:r>
      <w:r w:rsidR="00E73FEF" w:rsidRPr="001A0B66">
        <w:rPr>
          <w:rFonts w:ascii="FrankRuehl" w:hAnsi="FrankRuehl" w:cs="FrankRuehl"/>
          <w:sz w:val="28"/>
          <w:szCs w:val="28"/>
          <w:rtl/>
        </w:rPr>
        <w:t xml:space="preserve">או של שר המוציא תעודת חיסיון לראיות שונות – דוגמת השר לביטחון-פנים – </w:t>
      </w:r>
      <w:r w:rsidR="00880DED" w:rsidRPr="001A0B66">
        <w:rPr>
          <w:rFonts w:ascii="FrankRuehl" w:hAnsi="FrankRuehl" w:cs="FrankRuehl"/>
          <w:sz w:val="28"/>
          <w:szCs w:val="28"/>
          <w:rtl/>
        </w:rPr>
        <w:t>ובמש</w:t>
      </w:r>
      <w:r w:rsidR="00D734C4">
        <w:rPr>
          <w:rFonts w:ascii="FrankRuehl" w:hAnsi="FrankRuehl" w:cs="FrankRuehl"/>
          <w:sz w:val="28"/>
          <w:szCs w:val="28"/>
          <w:rtl/>
        </w:rPr>
        <w:t>ת</w:t>
      </w:r>
      <w:r w:rsidR="00880DED" w:rsidRPr="001A0B66">
        <w:rPr>
          <w:rFonts w:ascii="FrankRuehl" w:hAnsi="FrankRuehl" w:cs="FrankRuehl"/>
          <w:sz w:val="28"/>
          <w:szCs w:val="28"/>
          <w:rtl/>
        </w:rPr>
        <w:t xml:space="preserve">מע גם יועציהם המשפטיים; </w:t>
      </w:r>
      <w:r w:rsidR="00E73FEF" w:rsidRPr="001A0B66">
        <w:rPr>
          <w:rFonts w:ascii="FrankRuehl" w:hAnsi="FrankRuehl" w:cs="FrankRuehl"/>
          <w:sz w:val="28"/>
          <w:szCs w:val="28"/>
          <w:rtl/>
        </w:rPr>
        <w:t xml:space="preserve">ג. </w:t>
      </w:r>
      <w:r w:rsidR="00880DED" w:rsidRPr="001A0B66">
        <w:rPr>
          <w:rFonts w:ascii="FrankRuehl" w:hAnsi="FrankRuehl" w:cs="FrankRuehl"/>
          <w:sz w:val="28"/>
          <w:szCs w:val="28"/>
          <w:rtl/>
        </w:rPr>
        <w:t>בקר</w:t>
      </w:r>
      <w:r w:rsidR="00F37DDB" w:rsidRPr="001A0B66">
        <w:rPr>
          <w:rFonts w:ascii="FrankRuehl" w:hAnsi="FrankRuehl" w:cs="FrankRuehl"/>
          <w:sz w:val="28"/>
          <w:szCs w:val="28"/>
          <w:rtl/>
        </w:rPr>
        <w:t xml:space="preserve">ת </w:t>
      </w:r>
      <w:r w:rsidR="00880DED" w:rsidRPr="001A0B66">
        <w:rPr>
          <w:rFonts w:ascii="FrankRuehl" w:hAnsi="FrankRuehl" w:cs="FrankRuehl"/>
          <w:sz w:val="28"/>
          <w:szCs w:val="28"/>
          <w:rtl/>
        </w:rPr>
        <w:t xml:space="preserve">הפרקליטות </w:t>
      </w:r>
      <w:r w:rsidR="00F37DDB" w:rsidRPr="001A0B66">
        <w:rPr>
          <w:rFonts w:ascii="FrankRuehl" w:hAnsi="FrankRuehl" w:cs="FrankRuehl"/>
          <w:sz w:val="28"/>
          <w:szCs w:val="28"/>
          <w:rtl/>
        </w:rPr>
        <w:t>(</w:t>
      </w:r>
      <w:r w:rsidR="00035A7E" w:rsidRPr="001A0B66">
        <w:rPr>
          <w:rFonts w:ascii="FrankRuehl" w:hAnsi="FrankRuehl" w:cs="FrankRuehl"/>
          <w:sz w:val="28"/>
          <w:szCs w:val="28"/>
          <w:rtl/>
        </w:rPr>
        <w:t>פרקליטות המדינה או הפרקליטות הצבאית</w:t>
      </w:r>
      <w:r w:rsidR="00F37DDB" w:rsidRPr="001A0B66">
        <w:rPr>
          <w:rFonts w:ascii="FrankRuehl" w:hAnsi="FrankRuehl" w:cs="FrankRuehl"/>
          <w:sz w:val="28"/>
          <w:szCs w:val="28"/>
          <w:rtl/>
        </w:rPr>
        <w:t>)</w:t>
      </w:r>
      <w:r w:rsidR="00035A7E" w:rsidRPr="001A0B66">
        <w:rPr>
          <w:rFonts w:ascii="FrankRuehl" w:hAnsi="FrankRuehl" w:cs="FrankRuehl"/>
          <w:sz w:val="28"/>
          <w:szCs w:val="28"/>
          <w:rtl/>
        </w:rPr>
        <w:t xml:space="preserve"> </w:t>
      </w:r>
      <w:r w:rsidR="00CD5EB2">
        <w:rPr>
          <w:rFonts w:ascii="FrankRuehl" w:hAnsi="FrankRuehl" w:cs="FrankRuehl"/>
          <w:sz w:val="28"/>
          <w:szCs w:val="28"/>
          <w:rtl/>
        </w:rPr>
        <w:t xml:space="preserve">שאמורה </w:t>
      </w:r>
      <w:r w:rsidR="005470A4" w:rsidRPr="001A0B66">
        <w:rPr>
          <w:rFonts w:ascii="FrankRuehl" w:hAnsi="FrankRuehl" w:cs="FrankRuehl"/>
          <w:sz w:val="28"/>
          <w:szCs w:val="28"/>
          <w:rtl/>
        </w:rPr>
        <w:t xml:space="preserve">להתקיים נוכח </w:t>
      </w:r>
      <w:r w:rsidR="00880DED" w:rsidRPr="001A0B66">
        <w:rPr>
          <w:rFonts w:ascii="FrankRuehl" w:hAnsi="FrankRuehl" w:cs="FrankRuehl"/>
          <w:sz w:val="28"/>
          <w:szCs w:val="28"/>
          <w:rtl/>
        </w:rPr>
        <w:t>הבקרה השיפוטית</w:t>
      </w:r>
      <w:r w:rsidR="005470A4" w:rsidRPr="001A0B66">
        <w:rPr>
          <w:rFonts w:ascii="FrankRuehl" w:hAnsi="FrankRuehl" w:cs="FrankRuehl"/>
          <w:sz w:val="28"/>
          <w:szCs w:val="28"/>
          <w:rtl/>
        </w:rPr>
        <w:t xml:space="preserve"> הצפויה</w:t>
      </w:r>
      <w:r w:rsidR="00880DED" w:rsidRPr="001A0B66">
        <w:rPr>
          <w:rFonts w:ascii="FrankRuehl" w:hAnsi="FrankRuehl" w:cs="FrankRuehl"/>
          <w:sz w:val="28"/>
          <w:szCs w:val="28"/>
          <w:rtl/>
        </w:rPr>
        <w:t xml:space="preserve">; </w:t>
      </w:r>
      <w:r w:rsidR="005470A4" w:rsidRPr="001A0B66">
        <w:rPr>
          <w:rFonts w:ascii="FrankRuehl" w:hAnsi="FrankRuehl" w:cs="FrankRuehl"/>
          <w:sz w:val="28"/>
          <w:szCs w:val="28"/>
          <w:rtl/>
        </w:rPr>
        <w:t>ו</w:t>
      </w:r>
      <w:r w:rsidR="00E73FEF" w:rsidRPr="001A0B66">
        <w:rPr>
          <w:rFonts w:ascii="FrankRuehl" w:hAnsi="FrankRuehl" w:cs="FrankRuehl"/>
          <w:sz w:val="28"/>
          <w:szCs w:val="28"/>
          <w:rtl/>
        </w:rPr>
        <w:t xml:space="preserve">-ד. </w:t>
      </w:r>
      <w:r w:rsidR="005470A4" w:rsidRPr="001A0B66">
        <w:rPr>
          <w:rFonts w:ascii="FrankRuehl" w:hAnsi="FrankRuehl" w:cs="FrankRuehl"/>
          <w:sz w:val="28"/>
          <w:szCs w:val="28"/>
          <w:rtl/>
        </w:rPr>
        <w:t xml:space="preserve">לבסוף </w:t>
      </w:r>
      <w:r w:rsidR="00880DED" w:rsidRPr="001A0B66">
        <w:rPr>
          <w:rFonts w:ascii="FrankRuehl" w:hAnsi="FrankRuehl" w:cs="FrankRuehl"/>
          <w:sz w:val="28"/>
          <w:szCs w:val="28"/>
          <w:rtl/>
        </w:rPr>
        <w:t>בקרת בית המשפט</w:t>
      </w:r>
      <w:r w:rsidR="005470A4" w:rsidRPr="001A0B66">
        <w:rPr>
          <w:rFonts w:ascii="FrankRuehl" w:hAnsi="FrankRuehl" w:cs="FrankRuehl"/>
          <w:sz w:val="28"/>
          <w:szCs w:val="28"/>
          <w:rtl/>
        </w:rPr>
        <w:t xml:space="preserve"> עצמו</w:t>
      </w:r>
      <w:r w:rsidR="00880DED" w:rsidRPr="001A0B66">
        <w:rPr>
          <w:rFonts w:ascii="FrankRuehl" w:hAnsi="FrankRuehl" w:cs="FrankRuehl"/>
          <w:sz w:val="28"/>
          <w:szCs w:val="28"/>
          <w:rtl/>
        </w:rPr>
        <w:t xml:space="preserve">. </w:t>
      </w:r>
      <w:r w:rsidR="00CD5EB2">
        <w:rPr>
          <w:rFonts w:ascii="FrankRuehl" w:hAnsi="FrankRuehl" w:cs="FrankRuehl"/>
          <w:sz w:val="28"/>
          <w:szCs w:val="28"/>
          <w:rtl/>
        </w:rPr>
        <w:t xml:space="preserve">בפרשת </w:t>
      </w:r>
      <w:r w:rsidR="00CD5EB2" w:rsidRPr="00CD5EB2">
        <w:rPr>
          <w:rFonts w:ascii="FrankRuehl" w:hAnsi="FrankRuehl" w:cs="FrankRuehl"/>
          <w:b/>
          <w:bCs/>
          <w:sz w:val="28"/>
          <w:szCs w:val="28"/>
          <w:rtl/>
        </w:rPr>
        <w:t>אבו סעדה</w:t>
      </w:r>
      <w:r w:rsidR="00CD5EB2">
        <w:rPr>
          <w:rFonts w:ascii="FrankRuehl" w:hAnsi="FrankRuehl" w:cs="FrankRuehl"/>
          <w:sz w:val="28"/>
          <w:szCs w:val="28"/>
          <w:rtl/>
        </w:rPr>
        <w:t xml:space="preserve"> </w:t>
      </w:r>
      <w:r w:rsidR="00BF56C3" w:rsidRPr="001A0B66">
        <w:rPr>
          <w:rFonts w:ascii="FrankRuehl" w:hAnsi="FrankRuehl" w:cs="FrankRuehl"/>
          <w:sz w:val="28"/>
          <w:szCs w:val="28"/>
          <w:rtl/>
        </w:rPr>
        <w:t>מ</w:t>
      </w:r>
      <w:r w:rsidR="00F37DDB" w:rsidRPr="001A0B66">
        <w:rPr>
          <w:rFonts w:ascii="FrankRuehl" w:hAnsi="FrankRuehl" w:cs="FrankRuehl"/>
          <w:sz w:val="28"/>
          <w:szCs w:val="28"/>
          <w:rtl/>
        </w:rPr>
        <w:t>ת</w:t>
      </w:r>
      <w:r w:rsidR="00BF56C3" w:rsidRPr="001A0B66">
        <w:rPr>
          <w:rFonts w:ascii="FrankRuehl" w:hAnsi="FrankRuehl" w:cs="FrankRuehl"/>
          <w:sz w:val="28"/>
          <w:szCs w:val="28"/>
          <w:rtl/>
        </w:rPr>
        <w:t>גלה הקלות</w:t>
      </w:r>
      <w:r w:rsidR="00C417FC" w:rsidRPr="001A0B66">
        <w:rPr>
          <w:rFonts w:ascii="FrankRuehl" w:hAnsi="FrankRuehl" w:cs="FrankRuehl"/>
          <w:sz w:val="28"/>
          <w:szCs w:val="28"/>
          <w:rtl/>
        </w:rPr>
        <w:t xml:space="preserve"> </w:t>
      </w:r>
      <w:r w:rsidR="00E60AFE" w:rsidRPr="001A0B66">
        <w:rPr>
          <w:rFonts w:ascii="FrankRuehl" w:hAnsi="FrankRuehl" w:cs="FrankRuehl"/>
          <w:sz w:val="28"/>
          <w:szCs w:val="28"/>
          <w:rtl/>
        </w:rPr>
        <w:t>הבלתי נסבלת</w:t>
      </w:r>
      <w:r w:rsidR="00BF56C3" w:rsidRPr="001A0B66">
        <w:rPr>
          <w:rFonts w:ascii="FrankRuehl" w:hAnsi="FrankRuehl" w:cs="FrankRuehl"/>
          <w:sz w:val="28"/>
          <w:szCs w:val="28"/>
          <w:rtl/>
        </w:rPr>
        <w:t xml:space="preserve"> שבה </w:t>
      </w:r>
      <w:r w:rsidR="00A151B5" w:rsidRPr="001A0B66">
        <w:rPr>
          <w:rFonts w:ascii="FrankRuehl" w:hAnsi="FrankRuehl" w:cs="FrankRuehl"/>
          <w:sz w:val="28"/>
          <w:szCs w:val="28"/>
          <w:rtl/>
        </w:rPr>
        <w:t xml:space="preserve">כשלו </w:t>
      </w:r>
      <w:r w:rsidR="00A151B5" w:rsidRPr="001A0B66">
        <w:rPr>
          <w:rFonts w:ascii="FrankRuehl" w:hAnsi="FrankRuehl" w:cs="FrankRuehl"/>
          <w:b/>
          <w:bCs/>
          <w:sz w:val="28"/>
          <w:szCs w:val="28"/>
          <w:rtl/>
        </w:rPr>
        <w:t>כל</w:t>
      </w:r>
      <w:r w:rsidR="00A151B5" w:rsidRPr="001A0B66">
        <w:rPr>
          <w:rFonts w:ascii="FrankRuehl" w:hAnsi="FrankRuehl" w:cs="FrankRuehl"/>
          <w:i/>
          <w:iCs/>
          <w:sz w:val="28"/>
          <w:szCs w:val="28"/>
          <w:rtl/>
        </w:rPr>
        <w:t xml:space="preserve"> </w:t>
      </w:r>
      <w:r w:rsidR="00A151B5" w:rsidRPr="001A0B66">
        <w:rPr>
          <w:rFonts w:ascii="FrankRuehl" w:hAnsi="FrankRuehl" w:cs="FrankRuehl"/>
          <w:sz w:val="28"/>
          <w:szCs w:val="28"/>
          <w:rtl/>
        </w:rPr>
        <w:t>גורמי הבקרה</w:t>
      </w:r>
      <w:r w:rsidR="00346C80" w:rsidRPr="001A0B66">
        <w:rPr>
          <w:rFonts w:ascii="FrankRuehl" w:hAnsi="FrankRuehl" w:cs="FrankRuehl"/>
          <w:sz w:val="28"/>
          <w:szCs w:val="28"/>
          <w:rtl/>
        </w:rPr>
        <w:t xml:space="preserve"> הללו</w:t>
      </w:r>
      <w:r w:rsidR="00F37DDB" w:rsidRPr="001A0B66">
        <w:rPr>
          <w:rFonts w:ascii="FrankRuehl" w:hAnsi="FrankRuehl" w:cs="FrankRuehl"/>
          <w:sz w:val="28"/>
          <w:szCs w:val="28"/>
          <w:rtl/>
        </w:rPr>
        <w:t xml:space="preserve">. </w:t>
      </w:r>
      <w:r w:rsidR="0004275D" w:rsidRPr="001A0B66">
        <w:rPr>
          <w:rFonts w:ascii="FrankRuehl" w:hAnsi="FrankRuehl" w:cs="FrankRuehl"/>
          <w:sz w:val="28"/>
          <w:szCs w:val="28"/>
          <w:rtl/>
        </w:rPr>
        <w:t>א</w:t>
      </w:r>
      <w:r w:rsidR="000867B6" w:rsidRPr="001A0B66">
        <w:rPr>
          <w:rFonts w:ascii="FrankRuehl" w:hAnsi="FrankRuehl" w:cs="FrankRuehl"/>
          <w:sz w:val="28"/>
          <w:szCs w:val="28"/>
          <w:rtl/>
        </w:rPr>
        <w:t>ו</w:t>
      </w:r>
      <w:r w:rsidR="0004275D" w:rsidRPr="001A0B66">
        <w:rPr>
          <w:rFonts w:ascii="FrankRuehl" w:hAnsi="FrankRuehl" w:cs="FrankRuehl"/>
          <w:sz w:val="28"/>
          <w:szCs w:val="28"/>
          <w:rtl/>
        </w:rPr>
        <w:t xml:space="preserve">מנם </w:t>
      </w:r>
      <w:r w:rsidR="00580AAB" w:rsidRPr="001A0B66">
        <w:rPr>
          <w:rFonts w:ascii="FrankRuehl" w:hAnsi="FrankRuehl" w:cs="FrankRuehl"/>
          <w:sz w:val="28"/>
          <w:szCs w:val="28"/>
          <w:rtl/>
        </w:rPr>
        <w:t xml:space="preserve">שם </w:t>
      </w:r>
      <w:r w:rsidR="00F37DDB" w:rsidRPr="001A0B66">
        <w:rPr>
          <w:rFonts w:ascii="FrankRuehl" w:hAnsi="FrankRuehl" w:cs="FrankRuehl"/>
          <w:sz w:val="28"/>
          <w:szCs w:val="28"/>
          <w:rtl/>
        </w:rPr>
        <w:t>נדון</w:t>
      </w:r>
      <w:r w:rsidR="00580AAB" w:rsidRPr="001A0B66">
        <w:rPr>
          <w:rFonts w:ascii="FrankRuehl" w:hAnsi="FrankRuehl" w:cs="FrankRuehl"/>
          <w:sz w:val="28"/>
          <w:szCs w:val="28"/>
          <w:rtl/>
        </w:rPr>
        <w:t xml:space="preserve"> </w:t>
      </w:r>
      <w:r w:rsidR="0004275D" w:rsidRPr="001A0B66">
        <w:rPr>
          <w:rFonts w:ascii="FrankRuehl" w:hAnsi="FrankRuehl" w:cs="FrankRuehl"/>
          <w:sz w:val="28"/>
          <w:szCs w:val="28"/>
          <w:rtl/>
        </w:rPr>
        <w:t xml:space="preserve">שימוש בראיות חסויות בגדרו </w:t>
      </w:r>
      <w:r w:rsidR="006E59D0" w:rsidRPr="001A0B66">
        <w:rPr>
          <w:rFonts w:ascii="FrankRuehl" w:hAnsi="FrankRuehl" w:cs="FrankRuehl"/>
          <w:sz w:val="28"/>
          <w:szCs w:val="28"/>
          <w:rtl/>
        </w:rPr>
        <w:t xml:space="preserve">של </w:t>
      </w:r>
      <w:r w:rsidR="0004275D" w:rsidRPr="001A0B66">
        <w:rPr>
          <w:rFonts w:ascii="FrankRuehl" w:hAnsi="FrankRuehl" w:cs="FrankRuehl"/>
          <w:sz w:val="28"/>
          <w:szCs w:val="28"/>
          <w:rtl/>
        </w:rPr>
        <w:t xml:space="preserve">הליך פלילי </w:t>
      </w:r>
      <w:r w:rsidR="00C417FC" w:rsidRPr="001A0B66">
        <w:rPr>
          <w:rFonts w:ascii="FrankRuehl" w:hAnsi="FrankRuehl" w:cs="FrankRuehl"/>
          <w:sz w:val="28"/>
          <w:szCs w:val="28"/>
          <w:rtl/>
        </w:rPr>
        <w:t xml:space="preserve">בפני בית המשפט, </w:t>
      </w:r>
      <w:r w:rsidR="006E59D0" w:rsidRPr="001A0B66">
        <w:rPr>
          <w:rFonts w:ascii="FrankRuehl" w:hAnsi="FrankRuehl" w:cs="FrankRuehl"/>
          <w:sz w:val="28"/>
          <w:szCs w:val="28"/>
          <w:rtl/>
        </w:rPr>
        <w:t>להבדיל מ</w:t>
      </w:r>
      <w:r w:rsidR="00580AAB" w:rsidRPr="001A0B66">
        <w:rPr>
          <w:rFonts w:ascii="FrankRuehl" w:hAnsi="FrankRuehl" w:cs="FrankRuehl"/>
          <w:sz w:val="28"/>
          <w:szCs w:val="28"/>
          <w:rtl/>
        </w:rPr>
        <w:t xml:space="preserve">בעת </w:t>
      </w:r>
      <w:r w:rsidR="00C417FC" w:rsidRPr="001A0B66">
        <w:rPr>
          <w:rFonts w:ascii="FrankRuehl" w:hAnsi="FrankRuehl" w:cs="FrankRuehl"/>
          <w:sz w:val="28"/>
          <w:szCs w:val="28"/>
          <w:rtl/>
        </w:rPr>
        <w:t xml:space="preserve">ביקורת שיפוטית על </w:t>
      </w:r>
      <w:r w:rsidR="0004275D" w:rsidRPr="001A0B66">
        <w:rPr>
          <w:rFonts w:ascii="FrankRuehl" w:hAnsi="FrankRuehl" w:cs="FrankRuehl"/>
          <w:sz w:val="28"/>
          <w:szCs w:val="28"/>
          <w:rtl/>
        </w:rPr>
        <w:t>הפעלת סמכויות מנהליות</w:t>
      </w:r>
      <w:r w:rsidR="00F37DDB" w:rsidRPr="001A0B66">
        <w:rPr>
          <w:rFonts w:ascii="FrankRuehl" w:hAnsi="FrankRuehl" w:cs="FrankRuehl"/>
          <w:sz w:val="28"/>
          <w:szCs w:val="28"/>
          <w:rtl/>
        </w:rPr>
        <w:t>;</w:t>
      </w:r>
      <w:r w:rsidR="0004275D" w:rsidRPr="001A0B66">
        <w:rPr>
          <w:rFonts w:ascii="FrankRuehl" w:hAnsi="FrankRuehl" w:cs="FrankRuehl"/>
          <w:sz w:val="28"/>
          <w:szCs w:val="28"/>
          <w:rtl/>
        </w:rPr>
        <w:t xml:space="preserve"> אולם </w:t>
      </w:r>
      <w:r w:rsidR="00F37DDB" w:rsidRPr="001A0B66">
        <w:rPr>
          <w:rFonts w:ascii="FrankRuehl" w:hAnsi="FrankRuehl" w:cs="FrankRuehl"/>
          <w:sz w:val="28"/>
          <w:szCs w:val="28"/>
          <w:rtl/>
        </w:rPr>
        <w:t>עניין זה</w:t>
      </w:r>
      <w:r w:rsidR="0004275D" w:rsidRPr="001A0B66">
        <w:rPr>
          <w:rFonts w:ascii="FrankRuehl" w:hAnsi="FrankRuehl" w:cs="FrankRuehl"/>
          <w:sz w:val="28"/>
          <w:szCs w:val="28"/>
          <w:rtl/>
        </w:rPr>
        <w:t xml:space="preserve"> אינ</w:t>
      </w:r>
      <w:r w:rsidR="00F37DDB" w:rsidRPr="001A0B66">
        <w:rPr>
          <w:rFonts w:ascii="FrankRuehl" w:hAnsi="FrankRuehl" w:cs="FrankRuehl"/>
          <w:sz w:val="28"/>
          <w:szCs w:val="28"/>
          <w:rtl/>
        </w:rPr>
        <w:t>ו</w:t>
      </w:r>
      <w:r w:rsidR="0004275D" w:rsidRPr="001A0B66">
        <w:rPr>
          <w:rFonts w:ascii="FrankRuehl" w:hAnsi="FrankRuehl" w:cs="FrankRuehl"/>
          <w:sz w:val="28"/>
          <w:szCs w:val="28"/>
          <w:rtl/>
        </w:rPr>
        <w:t xml:space="preserve"> מהותי ל</w:t>
      </w:r>
      <w:r w:rsidRPr="001A0B66">
        <w:rPr>
          <w:rFonts w:ascii="FrankRuehl" w:hAnsi="FrankRuehl" w:cs="FrankRuehl"/>
          <w:sz w:val="28"/>
          <w:szCs w:val="28"/>
          <w:rtl/>
        </w:rPr>
        <w:t>לקחי</w:t>
      </w:r>
      <w:r w:rsidR="00580AAB" w:rsidRPr="001A0B66">
        <w:rPr>
          <w:rFonts w:ascii="FrankRuehl" w:hAnsi="FrankRuehl" w:cs="FrankRuehl"/>
          <w:sz w:val="28"/>
          <w:szCs w:val="28"/>
          <w:rtl/>
        </w:rPr>
        <w:t xml:space="preserve">ו של מקרה זה </w:t>
      </w:r>
      <w:r w:rsidR="00630F90" w:rsidRPr="001A0B66">
        <w:rPr>
          <w:rFonts w:ascii="FrankRuehl" w:hAnsi="FrankRuehl" w:cs="FrankRuehl"/>
          <w:sz w:val="28"/>
          <w:szCs w:val="28"/>
          <w:rtl/>
        </w:rPr>
        <w:t>ול</w:t>
      </w:r>
      <w:r w:rsidR="00C417FC" w:rsidRPr="001A0B66">
        <w:rPr>
          <w:rFonts w:ascii="FrankRuehl" w:hAnsi="FrankRuehl" w:cs="FrankRuehl"/>
          <w:sz w:val="28"/>
          <w:szCs w:val="28"/>
          <w:rtl/>
        </w:rPr>
        <w:t xml:space="preserve">תימוכין שהוא מספק </w:t>
      </w:r>
      <w:r w:rsidR="00A151B5" w:rsidRPr="001A0B66">
        <w:rPr>
          <w:rFonts w:ascii="FrankRuehl" w:hAnsi="FrankRuehl" w:cs="FrankRuehl"/>
          <w:sz w:val="28"/>
          <w:szCs w:val="28"/>
          <w:rtl/>
        </w:rPr>
        <w:t>למודל הפרקליט המיוחד</w:t>
      </w:r>
      <w:r w:rsidR="0004275D" w:rsidRPr="001A0B66">
        <w:rPr>
          <w:rFonts w:ascii="FrankRuehl" w:hAnsi="FrankRuehl" w:cs="FrankRuehl"/>
          <w:sz w:val="28"/>
          <w:szCs w:val="28"/>
          <w:rtl/>
        </w:rPr>
        <w:t xml:space="preserve">. בשל חשיבות הפרשה נציג אותה </w:t>
      </w:r>
      <w:r w:rsidR="009B0C5D" w:rsidRPr="001A0B66">
        <w:rPr>
          <w:rFonts w:ascii="FrankRuehl" w:hAnsi="FrankRuehl" w:cs="FrankRuehl"/>
          <w:sz w:val="28"/>
          <w:szCs w:val="28"/>
          <w:rtl/>
        </w:rPr>
        <w:t>בפירוט יחסי</w:t>
      </w:r>
      <w:r w:rsidR="006E59D0" w:rsidRPr="001A0B66">
        <w:rPr>
          <w:rFonts w:ascii="FrankRuehl" w:hAnsi="FrankRuehl" w:cs="FrankRuehl"/>
          <w:sz w:val="28"/>
          <w:szCs w:val="28"/>
          <w:rtl/>
        </w:rPr>
        <w:t xml:space="preserve">. </w:t>
      </w:r>
      <w:r w:rsidR="00F37DDB" w:rsidRPr="001A0B66">
        <w:rPr>
          <w:rFonts w:ascii="FrankRuehl" w:hAnsi="FrankRuehl" w:cs="FrankRuehl"/>
          <w:sz w:val="28"/>
          <w:szCs w:val="28"/>
          <w:rtl/>
        </w:rPr>
        <w:t xml:space="preserve">תחילה יובאו </w:t>
      </w:r>
      <w:r w:rsidR="00A151B5" w:rsidRPr="001A0B66">
        <w:rPr>
          <w:rFonts w:ascii="FrankRuehl" w:hAnsi="FrankRuehl" w:cs="FrankRuehl"/>
          <w:sz w:val="28"/>
          <w:szCs w:val="28"/>
          <w:rtl/>
        </w:rPr>
        <w:t xml:space="preserve">דבריהם של השופטת </w:t>
      </w:r>
      <w:proofErr w:type="spellStart"/>
      <w:r w:rsidR="00A151B5" w:rsidRPr="001A0B66">
        <w:rPr>
          <w:rFonts w:ascii="FrankRuehl" w:hAnsi="FrankRuehl" w:cs="FrankRuehl"/>
          <w:sz w:val="28"/>
          <w:szCs w:val="28"/>
          <w:rtl/>
        </w:rPr>
        <w:t>דורנר</w:t>
      </w:r>
      <w:proofErr w:type="spellEnd"/>
      <w:r w:rsidR="00A151B5" w:rsidRPr="001A0B66">
        <w:rPr>
          <w:rFonts w:ascii="FrankRuehl" w:hAnsi="FrankRuehl" w:cs="FrankRuehl"/>
          <w:sz w:val="28"/>
          <w:szCs w:val="28"/>
          <w:rtl/>
        </w:rPr>
        <w:t xml:space="preserve"> והשופט קדמי:</w:t>
      </w:r>
    </w:p>
    <w:p w14:paraId="57C69B06" w14:textId="77777777" w:rsidR="006844B2" w:rsidRPr="001A0B66" w:rsidRDefault="001B21F5"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A151B5" w:rsidRPr="001A0B66">
        <w:rPr>
          <w:rFonts w:ascii="FrankRuehl" w:hAnsi="FrankRuehl" w:cs="FrankRuehl"/>
          <w:sz w:val="28"/>
          <w:szCs w:val="28"/>
          <w:rtl/>
        </w:rPr>
        <w:t xml:space="preserve">1. בתאריך 1.2.1996 הוכה למוות באגף העצירים </w:t>
      </w:r>
      <w:proofErr w:type="spellStart"/>
      <w:r w:rsidR="00A151B5" w:rsidRPr="001A0B66">
        <w:rPr>
          <w:rFonts w:ascii="FrankRuehl" w:hAnsi="FrankRuehl" w:cs="FrankRuehl"/>
          <w:sz w:val="28"/>
          <w:szCs w:val="28"/>
          <w:rtl/>
        </w:rPr>
        <w:t>המינהליים</w:t>
      </w:r>
      <w:proofErr w:type="spellEnd"/>
      <w:r w:rsidR="00A151B5" w:rsidRPr="001A0B66">
        <w:rPr>
          <w:rFonts w:ascii="FrankRuehl" w:hAnsi="FrankRuehl" w:cs="FrankRuehl"/>
          <w:sz w:val="28"/>
          <w:szCs w:val="28"/>
          <w:rtl/>
        </w:rPr>
        <w:t xml:space="preserve"> בכלא מגידו העציר עבדול רחמן עומר זייד </w:t>
      </w:r>
      <w:proofErr w:type="spellStart"/>
      <w:r w:rsidR="00A151B5" w:rsidRPr="001A0B66">
        <w:rPr>
          <w:rFonts w:ascii="FrankRuehl" w:hAnsi="FrankRuehl" w:cs="FrankRuehl"/>
          <w:sz w:val="28"/>
          <w:szCs w:val="28"/>
          <w:rtl/>
        </w:rPr>
        <w:t>אלכילאני</w:t>
      </w:r>
      <w:proofErr w:type="spellEnd"/>
      <w:r w:rsidR="00A151B5" w:rsidRPr="001A0B66">
        <w:rPr>
          <w:rFonts w:ascii="FrankRuehl" w:hAnsi="FrankRuehl" w:cs="FrankRuehl"/>
          <w:sz w:val="28"/>
          <w:szCs w:val="28"/>
          <w:rtl/>
        </w:rPr>
        <w:t xml:space="preserve">, וזאת עקב "חקירה" אלימה שבוצעה בו על-ידי עצירים אחרים חברי ארגון החמאס. החשד נפל על העציר </w:t>
      </w:r>
      <w:proofErr w:type="spellStart"/>
      <w:r w:rsidR="00A151B5" w:rsidRPr="001A0B66">
        <w:rPr>
          <w:rFonts w:ascii="FrankRuehl" w:hAnsi="FrankRuehl" w:cs="FrankRuehl"/>
          <w:sz w:val="28"/>
          <w:szCs w:val="28"/>
          <w:rtl/>
        </w:rPr>
        <w:t>ניזאר</w:t>
      </w:r>
      <w:proofErr w:type="spellEnd"/>
      <w:r w:rsidR="00A151B5" w:rsidRPr="001A0B66">
        <w:rPr>
          <w:rFonts w:ascii="FrankRuehl" w:hAnsi="FrankRuehl" w:cs="FrankRuehl"/>
          <w:sz w:val="28"/>
          <w:szCs w:val="28"/>
          <w:rtl/>
        </w:rPr>
        <w:t xml:space="preserve"> </w:t>
      </w:r>
      <w:proofErr w:type="spellStart"/>
      <w:r w:rsidR="00A151B5" w:rsidRPr="001A0B66">
        <w:rPr>
          <w:rFonts w:ascii="FrankRuehl" w:hAnsi="FrankRuehl" w:cs="FrankRuehl"/>
          <w:sz w:val="28"/>
          <w:szCs w:val="28"/>
          <w:rtl/>
        </w:rPr>
        <w:t>זקזאק</w:t>
      </w:r>
      <w:proofErr w:type="spellEnd"/>
      <w:r w:rsidR="00A151B5" w:rsidRPr="001A0B66">
        <w:rPr>
          <w:rFonts w:ascii="FrankRuehl" w:hAnsi="FrankRuehl" w:cs="FrankRuehl"/>
          <w:sz w:val="28"/>
          <w:szCs w:val="28"/>
          <w:rtl/>
        </w:rPr>
        <w:t xml:space="preserve"> (להלן – </w:t>
      </w:r>
      <w:proofErr w:type="spellStart"/>
      <w:r w:rsidR="00A151B5" w:rsidRPr="001A0B66">
        <w:rPr>
          <w:rFonts w:ascii="FrankRuehl" w:hAnsi="FrankRuehl" w:cs="FrankRuehl"/>
          <w:sz w:val="28"/>
          <w:szCs w:val="28"/>
          <w:rtl/>
        </w:rPr>
        <w:t>זקזאק</w:t>
      </w:r>
      <w:proofErr w:type="spellEnd"/>
      <w:r w:rsidR="00A151B5" w:rsidRPr="001A0B66">
        <w:rPr>
          <w:rFonts w:ascii="FrankRuehl" w:hAnsi="FrankRuehl" w:cs="FrankRuehl"/>
          <w:sz w:val="28"/>
          <w:szCs w:val="28"/>
          <w:rtl/>
        </w:rPr>
        <w:t xml:space="preserve">). מן המזכר שנרשם על-ידי חוקר המשטרה בתאריך 18.3.1996 עולה, כי </w:t>
      </w:r>
      <w:proofErr w:type="spellStart"/>
      <w:r w:rsidR="00A151B5" w:rsidRPr="001A0B66">
        <w:rPr>
          <w:rFonts w:ascii="FrankRuehl" w:hAnsi="FrankRuehl" w:cs="FrankRuehl"/>
          <w:sz w:val="28"/>
          <w:szCs w:val="28"/>
          <w:rtl/>
        </w:rPr>
        <w:t>זקזאק</w:t>
      </w:r>
      <w:proofErr w:type="spellEnd"/>
      <w:r w:rsidR="00A151B5" w:rsidRPr="001A0B66">
        <w:rPr>
          <w:rFonts w:ascii="FrankRuehl" w:hAnsi="FrankRuehl" w:cs="FrankRuehl"/>
          <w:sz w:val="28"/>
          <w:szCs w:val="28"/>
          <w:rtl/>
        </w:rPr>
        <w:t xml:space="preserve"> נחקר באותו יום על מעורבותו בפרשה ועל ידיעותיו לגביה. </w:t>
      </w:r>
      <w:proofErr w:type="spellStart"/>
      <w:r w:rsidR="00A151B5" w:rsidRPr="001A0B66">
        <w:rPr>
          <w:rFonts w:ascii="FrankRuehl" w:hAnsi="FrankRuehl" w:cs="FrankRuehl"/>
          <w:sz w:val="28"/>
          <w:szCs w:val="28"/>
          <w:rtl/>
        </w:rPr>
        <w:t>זקזאק</w:t>
      </w:r>
      <w:proofErr w:type="spellEnd"/>
      <w:r w:rsidR="00A151B5" w:rsidRPr="001A0B66">
        <w:rPr>
          <w:rFonts w:ascii="FrankRuehl" w:hAnsi="FrankRuehl" w:cs="FrankRuehl"/>
          <w:sz w:val="28"/>
          <w:szCs w:val="28"/>
          <w:rtl/>
        </w:rPr>
        <w:t xml:space="preserve"> סיפר, כי שמע את זעקות המנוח בוקעות מאוהל סמוך לאוהל מגוריו. לדברי </w:t>
      </w:r>
      <w:proofErr w:type="spellStart"/>
      <w:r w:rsidR="00A151B5" w:rsidRPr="001A0B66">
        <w:rPr>
          <w:rFonts w:ascii="FrankRuehl" w:hAnsi="FrankRuehl" w:cs="FrankRuehl"/>
          <w:sz w:val="28"/>
          <w:szCs w:val="28"/>
          <w:rtl/>
        </w:rPr>
        <w:t>זקזאק</w:t>
      </w:r>
      <w:proofErr w:type="spellEnd"/>
      <w:r w:rsidR="00A151B5" w:rsidRPr="001A0B66">
        <w:rPr>
          <w:rFonts w:ascii="FrankRuehl" w:hAnsi="FrankRuehl" w:cs="FrankRuehl"/>
          <w:sz w:val="28"/>
          <w:szCs w:val="28"/>
          <w:rtl/>
        </w:rPr>
        <w:t xml:space="preserve">, הוא ראה את העציר </w:t>
      </w:r>
      <w:proofErr w:type="spellStart"/>
      <w:r w:rsidR="00A151B5" w:rsidRPr="001A0B66">
        <w:rPr>
          <w:rFonts w:ascii="FrankRuehl" w:hAnsi="FrankRuehl" w:cs="FrankRuehl"/>
          <w:sz w:val="28"/>
          <w:szCs w:val="28"/>
          <w:rtl/>
        </w:rPr>
        <w:t>ואליד</w:t>
      </w:r>
      <w:proofErr w:type="spellEnd"/>
      <w:r w:rsidR="00A151B5" w:rsidRPr="001A0B66">
        <w:rPr>
          <w:rFonts w:ascii="FrankRuehl" w:hAnsi="FrankRuehl" w:cs="FrankRuehl"/>
          <w:sz w:val="28"/>
          <w:szCs w:val="28"/>
          <w:rtl/>
        </w:rPr>
        <w:t xml:space="preserve"> חאלד עלי, שהורה לחקור את המנוח, עומד מחוץ לאוהל, אך לא יכול היה לראות בעצמו את הנעשה בתוך האוהל משום שפתחיו היו סגורים. </w:t>
      </w:r>
      <w:r w:rsidR="00F37DDB" w:rsidRPr="001A0B66">
        <w:rPr>
          <w:rFonts w:ascii="FrankRuehl" w:hAnsi="FrankRuehl" w:cs="FrankRuehl"/>
          <w:sz w:val="28"/>
          <w:szCs w:val="28"/>
          <w:rtl/>
        </w:rPr>
        <w:t>[</w:t>
      </w:r>
      <w:r w:rsidR="00A151B5" w:rsidRPr="001A0B66">
        <w:rPr>
          <w:rFonts w:ascii="FrankRuehl" w:hAnsi="FrankRuehl" w:cs="FrankRuehl"/>
          <w:sz w:val="28"/>
          <w:szCs w:val="28"/>
          <w:rtl/>
        </w:rPr>
        <w:t>...</w:t>
      </w:r>
      <w:r w:rsidR="00F37DDB" w:rsidRPr="001A0B66">
        <w:rPr>
          <w:rFonts w:ascii="FrankRuehl" w:hAnsi="FrankRuehl" w:cs="FrankRuehl"/>
          <w:sz w:val="28"/>
          <w:szCs w:val="28"/>
          <w:rtl/>
        </w:rPr>
        <w:t>]</w:t>
      </w:r>
      <w:r w:rsidR="00346C80" w:rsidRPr="001A0B66">
        <w:rPr>
          <w:rFonts w:ascii="FrankRuehl" w:hAnsi="FrankRuehl" w:cs="FrankRuehl"/>
          <w:sz w:val="28"/>
          <w:szCs w:val="28"/>
          <w:rtl/>
        </w:rPr>
        <w:t xml:space="preserve"> כחצי שנה לאחר מכן – בחודש ספטמבר 1996 – מסר </w:t>
      </w:r>
      <w:proofErr w:type="spellStart"/>
      <w:r w:rsidR="00346C80" w:rsidRPr="001A0B66">
        <w:rPr>
          <w:rFonts w:ascii="FrankRuehl" w:hAnsi="FrankRuehl" w:cs="FrankRuehl"/>
          <w:sz w:val="28"/>
          <w:szCs w:val="28"/>
          <w:rtl/>
        </w:rPr>
        <w:t>זקזאק</w:t>
      </w:r>
      <w:proofErr w:type="spellEnd"/>
      <w:r w:rsidR="00346C80" w:rsidRPr="001A0B66">
        <w:rPr>
          <w:rFonts w:ascii="FrankRuehl" w:hAnsi="FrankRuehl" w:cs="FrankRuehl"/>
          <w:sz w:val="28"/>
          <w:szCs w:val="28"/>
          <w:rtl/>
        </w:rPr>
        <w:t xml:space="preserve"> הודעה רביעית למשטרה. בהודעה זו הוא סיפר, כי פתח האוהל שבו הוכה המנוח היה פתוח לרווחה, וכי דרך פתח זה ראה היטב את הנעשה בתוך האוהל. הוא הבחין במערער ובשניים נוספים כשהם מכים את המנוח. </w:t>
      </w:r>
      <w:proofErr w:type="spellStart"/>
      <w:r w:rsidR="00346C80" w:rsidRPr="001A0B66">
        <w:rPr>
          <w:rFonts w:ascii="FrankRuehl" w:hAnsi="FrankRuehl" w:cs="FrankRuehl"/>
          <w:sz w:val="28"/>
          <w:szCs w:val="28"/>
          <w:rtl/>
        </w:rPr>
        <w:t>זקזאק</w:t>
      </w:r>
      <w:proofErr w:type="spellEnd"/>
      <w:r w:rsidR="00346C80" w:rsidRPr="001A0B66">
        <w:rPr>
          <w:rFonts w:ascii="FrankRuehl" w:hAnsi="FrankRuehl" w:cs="FrankRuehl"/>
          <w:sz w:val="28"/>
          <w:szCs w:val="28"/>
          <w:rtl/>
        </w:rPr>
        <w:t xml:space="preserve"> אף היה נכון למסור עדות ברוח זו בבית-המשפט, והובטח לו כי לאחר מתן עדותו ישוחרר ממעצרו ויועבר לירדן. </w:t>
      </w:r>
    </w:p>
    <w:p w14:paraId="79361742" w14:textId="77777777" w:rsidR="006844B2"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p>
    <w:p w14:paraId="2B273644" w14:textId="77777777" w:rsidR="006844B2" w:rsidRPr="001A0B66" w:rsidRDefault="00346C80"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2. בתאריך 14.10.1997 הואשם המערער בבית-המשפט המחוזי בנצרת בעבירה של רצח. בתאריך 20.11.1997 העיד </w:t>
      </w:r>
      <w:proofErr w:type="spellStart"/>
      <w:r w:rsidRPr="001A0B66">
        <w:rPr>
          <w:rFonts w:ascii="FrankRuehl" w:hAnsi="FrankRuehl" w:cs="FrankRuehl"/>
          <w:sz w:val="28"/>
          <w:szCs w:val="28"/>
          <w:rtl/>
        </w:rPr>
        <w:t>זקזאק</w:t>
      </w:r>
      <w:proofErr w:type="spellEnd"/>
      <w:r w:rsidRPr="001A0B66">
        <w:rPr>
          <w:rFonts w:ascii="FrankRuehl" w:hAnsi="FrankRuehl" w:cs="FrankRuehl"/>
          <w:sz w:val="28"/>
          <w:szCs w:val="28"/>
          <w:rtl/>
        </w:rPr>
        <w:t xml:space="preserve"> במשפטו. בתאריך 9.12.1997 הוצאה תעודת חיסיון לפי סעיף 45 לפקודת הראיות [נוסח חדש], </w:t>
      </w:r>
      <w:r w:rsidR="00BF3CB3" w:rsidRPr="001A0B66">
        <w:rPr>
          <w:rFonts w:ascii="FrankRuehl" w:hAnsi="FrankRuehl" w:cs="FrankRuehl"/>
          <w:sz w:val="28"/>
          <w:szCs w:val="28"/>
          <w:rtl/>
        </w:rPr>
        <w:t>ה</w:t>
      </w:r>
      <w:r w:rsidRPr="001A0B66">
        <w:rPr>
          <w:rFonts w:ascii="FrankRuehl" w:hAnsi="FrankRuehl" w:cs="FrankRuehl"/>
          <w:sz w:val="28"/>
          <w:szCs w:val="28"/>
          <w:rtl/>
        </w:rPr>
        <w:t xml:space="preserve">תשל"א-1971 (להלן </w:t>
      </w:r>
      <w:r w:rsidRPr="001A0B66">
        <w:rPr>
          <w:rFonts w:ascii="FrankRuehl" w:hAnsi="FrankRuehl" w:cs="FrankRuehl"/>
          <w:sz w:val="28"/>
          <w:szCs w:val="28"/>
          <w:rtl/>
        </w:rPr>
        <w:lastRenderedPageBreak/>
        <w:t>– פקודת הראיות), על-ידי השר לביטחון פנים. תעודה זו התייחסה ל</w:t>
      </w:r>
      <w:r w:rsidR="009B0C5D" w:rsidRPr="001A0B66">
        <w:rPr>
          <w:rFonts w:ascii="FrankRuehl" w:hAnsi="FrankRuehl" w:cs="FrankRuehl"/>
          <w:sz w:val="28"/>
          <w:szCs w:val="28"/>
          <w:rtl/>
        </w:rPr>
        <w:t>-</w:t>
      </w:r>
      <w:r w:rsidRPr="001A0B66">
        <w:rPr>
          <w:rFonts w:ascii="FrankRuehl" w:hAnsi="FrankRuehl" w:cs="FrankRuehl"/>
          <w:sz w:val="28"/>
          <w:szCs w:val="28"/>
          <w:rtl/>
        </w:rPr>
        <w:t xml:space="preserve">32 מסמכים שנרשמו בכתב יד, ובכללם שלושת המזכרים שבהם נרשמו שלוש הודעותיו הראשונות של </w:t>
      </w:r>
      <w:proofErr w:type="spellStart"/>
      <w:r w:rsidRPr="001A0B66">
        <w:rPr>
          <w:rFonts w:ascii="FrankRuehl" w:hAnsi="FrankRuehl" w:cs="FrankRuehl"/>
          <w:sz w:val="28"/>
          <w:szCs w:val="28"/>
          <w:rtl/>
        </w:rPr>
        <w:t>זקזאק</w:t>
      </w:r>
      <w:proofErr w:type="spellEnd"/>
      <w:r w:rsidRPr="001A0B66">
        <w:rPr>
          <w:rFonts w:ascii="FrankRuehl" w:hAnsi="FrankRuehl" w:cs="FrankRuehl"/>
          <w:sz w:val="28"/>
          <w:szCs w:val="28"/>
          <w:rtl/>
        </w:rPr>
        <w:t xml:space="preserve"> שפורטו לעיל. </w:t>
      </w:r>
    </w:p>
    <w:p w14:paraId="1A5988C6" w14:textId="77777777" w:rsidR="006844B2"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p>
    <w:p w14:paraId="77E0E500" w14:textId="77777777" w:rsidR="006844B2" w:rsidRPr="001A0B66" w:rsidRDefault="009B0C5D"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בית-המשפט המחוזי נתן אמון בלתי מסויג </w:t>
      </w:r>
      <w:proofErr w:type="spellStart"/>
      <w:r w:rsidRPr="001A0B66">
        <w:rPr>
          <w:rFonts w:ascii="FrankRuehl" w:hAnsi="FrankRuehl" w:cs="FrankRuehl"/>
          <w:sz w:val="28"/>
          <w:szCs w:val="28"/>
          <w:rtl/>
        </w:rPr>
        <w:t>בזקזאק</w:t>
      </w:r>
      <w:proofErr w:type="spellEnd"/>
      <w:r w:rsidRPr="001A0B66">
        <w:rPr>
          <w:rFonts w:ascii="FrankRuehl" w:hAnsi="FrankRuehl" w:cs="FrankRuehl"/>
          <w:sz w:val="28"/>
          <w:szCs w:val="28"/>
          <w:rtl/>
        </w:rPr>
        <w:t xml:space="preserve">, הרשיע את המערער על יסוד עדות זאת בעבירה של רצח, וגזר את דינו למאסר עולם. </w:t>
      </w:r>
    </w:p>
    <w:p w14:paraId="09BE1F5F" w14:textId="77777777" w:rsidR="00346C80"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346C80" w:rsidRPr="001A0B66">
        <w:rPr>
          <w:rFonts w:ascii="FrankRuehl" w:hAnsi="FrankRuehl" w:cs="FrankRuehl"/>
          <w:sz w:val="28"/>
          <w:szCs w:val="28"/>
          <w:rtl/>
        </w:rPr>
        <w:t>...</w:t>
      </w:r>
      <w:r w:rsidRPr="001A0B66">
        <w:rPr>
          <w:rFonts w:ascii="FrankRuehl" w:hAnsi="FrankRuehl" w:cs="FrankRuehl"/>
          <w:sz w:val="28"/>
          <w:szCs w:val="28"/>
          <w:rtl/>
        </w:rPr>
        <w:t>]</w:t>
      </w:r>
    </w:p>
    <w:p w14:paraId="5DC6486A" w14:textId="77777777" w:rsidR="00346C80" w:rsidRPr="001A0B66" w:rsidRDefault="00346C80"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6. בענייננו, נכשלה הביקורת האמורה בכל שלוש רמותיה. </w:t>
      </w:r>
    </w:p>
    <w:p w14:paraId="1AD50099" w14:textId="77777777" w:rsidR="006844B2" w:rsidRPr="001A0B66" w:rsidRDefault="00346C80"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ראשית, מלכתחילה לא היה כלל מקום כי השר לביטחון פנים יוציא תעודת חיסיון לגבי דברי </w:t>
      </w:r>
      <w:proofErr w:type="spellStart"/>
      <w:r w:rsidRPr="001A0B66">
        <w:rPr>
          <w:rFonts w:ascii="FrankRuehl" w:hAnsi="FrankRuehl" w:cs="FrankRuehl"/>
          <w:sz w:val="28"/>
          <w:szCs w:val="28"/>
          <w:rtl/>
        </w:rPr>
        <w:t>זקזאק</w:t>
      </w:r>
      <w:proofErr w:type="spellEnd"/>
      <w:r w:rsidRPr="001A0B66">
        <w:rPr>
          <w:rFonts w:ascii="FrankRuehl" w:hAnsi="FrankRuehl" w:cs="FrankRuehl"/>
          <w:sz w:val="28"/>
          <w:szCs w:val="28"/>
          <w:rtl/>
        </w:rPr>
        <w:t xml:space="preserve"> לאחר הגשת כתב-האישום. שכן, </w:t>
      </w:r>
      <w:proofErr w:type="spellStart"/>
      <w:r w:rsidRPr="001A0B66">
        <w:rPr>
          <w:rFonts w:ascii="FrankRuehl" w:hAnsi="FrankRuehl" w:cs="FrankRuehl"/>
          <w:sz w:val="28"/>
          <w:szCs w:val="28"/>
          <w:rtl/>
        </w:rPr>
        <w:t>זקזאק</w:t>
      </w:r>
      <w:proofErr w:type="spellEnd"/>
      <w:r w:rsidRPr="001A0B66">
        <w:rPr>
          <w:rFonts w:ascii="FrankRuehl" w:hAnsi="FrankRuehl" w:cs="FrankRuehl"/>
          <w:sz w:val="28"/>
          <w:szCs w:val="28"/>
          <w:rtl/>
        </w:rPr>
        <w:t xml:space="preserve">, שבתחילת החקירה ביקש להסתיר מפני העצירים האחרים את דבר מסירת המידע מצדו למשטרה, הסכים להפליל את המערער ושניים אחרים בדיון פומבי, וזאת בלי להסתיר את זהותו, ותוך הבטחת ביטחונו באמצעות העברתו לירדן. </w:t>
      </w:r>
    </w:p>
    <w:p w14:paraId="7884AB3F" w14:textId="77777777" w:rsidR="00346C80"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346C80" w:rsidRPr="001A0B66">
        <w:rPr>
          <w:rFonts w:ascii="FrankRuehl" w:hAnsi="FrankRuehl" w:cs="FrankRuehl"/>
          <w:sz w:val="28"/>
          <w:szCs w:val="28"/>
          <w:rtl/>
        </w:rPr>
        <w:t>...</w:t>
      </w:r>
      <w:r w:rsidRPr="001A0B66">
        <w:rPr>
          <w:rFonts w:ascii="FrankRuehl" w:hAnsi="FrankRuehl" w:cs="FrankRuehl"/>
          <w:sz w:val="28"/>
          <w:szCs w:val="28"/>
          <w:rtl/>
        </w:rPr>
        <w:t>]</w:t>
      </w:r>
    </w:p>
    <w:p w14:paraId="14AA7C89" w14:textId="77777777" w:rsidR="00346C80" w:rsidRPr="001A0B66" w:rsidRDefault="00346C80"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שלישית, אכן, עיון קפדני של בית-המשפט בחומר הראיות החסוי שהוצג בפניו – המתחייב בשל כך שהנאשם </w:t>
      </w:r>
      <w:proofErr w:type="spellStart"/>
      <w:r w:rsidRPr="001A0B66">
        <w:rPr>
          <w:rFonts w:ascii="FrankRuehl" w:hAnsi="FrankRuehl" w:cs="FrankRuehl"/>
          <w:sz w:val="28"/>
          <w:szCs w:val="28"/>
          <w:rtl/>
        </w:rPr>
        <w:t>וסניגורו</w:t>
      </w:r>
      <w:proofErr w:type="spellEnd"/>
      <w:r w:rsidRPr="001A0B66">
        <w:rPr>
          <w:rFonts w:ascii="FrankRuehl" w:hAnsi="FrankRuehl" w:cs="FrankRuehl"/>
          <w:sz w:val="28"/>
          <w:szCs w:val="28"/>
          <w:rtl/>
        </w:rPr>
        <w:t xml:space="preserve"> אינם נוכחים בדיון – היה מגלה כי בין 32 המסמכים שהוצגו מצויים מזכרים בנוגע להודעות שמסר </w:t>
      </w:r>
      <w:proofErr w:type="spellStart"/>
      <w:r w:rsidRPr="001A0B66">
        <w:rPr>
          <w:rFonts w:ascii="FrankRuehl" w:hAnsi="FrankRuehl" w:cs="FrankRuehl"/>
          <w:sz w:val="28"/>
          <w:szCs w:val="28"/>
          <w:rtl/>
        </w:rPr>
        <w:t>זקזאק</w:t>
      </w:r>
      <w:proofErr w:type="spellEnd"/>
      <w:r w:rsidRPr="001A0B66">
        <w:rPr>
          <w:rFonts w:ascii="FrankRuehl" w:hAnsi="FrankRuehl" w:cs="FrankRuehl"/>
          <w:sz w:val="28"/>
          <w:szCs w:val="28"/>
          <w:rtl/>
        </w:rPr>
        <w:t xml:space="preserve"> עצמו </w:t>
      </w:r>
      <w:r w:rsidR="00FC649A" w:rsidRPr="001A0B66">
        <w:rPr>
          <w:rFonts w:ascii="FrankRuehl" w:hAnsi="FrankRuehl" w:cs="FrankRuehl"/>
          <w:sz w:val="28"/>
          <w:szCs w:val="28"/>
          <w:rtl/>
        </w:rPr>
        <w:t>[</w:t>
      </w:r>
      <w:r w:rsidR="0004275D" w:rsidRPr="001A0B66">
        <w:rPr>
          <w:rFonts w:ascii="FrankRuehl" w:hAnsi="FrankRuehl" w:cs="FrankRuehl"/>
          <w:sz w:val="28"/>
          <w:szCs w:val="28"/>
          <w:rtl/>
        </w:rPr>
        <w:t>..</w:t>
      </w:r>
      <w:r w:rsidRPr="001A0B66">
        <w:rPr>
          <w:rFonts w:ascii="FrankRuehl" w:hAnsi="FrankRuehl" w:cs="FrankRuehl"/>
          <w:sz w:val="28"/>
          <w:szCs w:val="28"/>
          <w:rtl/>
        </w:rPr>
        <w:t>.</w:t>
      </w:r>
      <w:r w:rsidR="00FC649A" w:rsidRPr="001A0B66">
        <w:rPr>
          <w:rFonts w:ascii="FrankRuehl" w:hAnsi="FrankRuehl" w:cs="FrankRuehl"/>
          <w:sz w:val="28"/>
          <w:szCs w:val="28"/>
          <w:rtl/>
        </w:rPr>
        <w:t>]</w:t>
      </w:r>
      <w:r w:rsidRPr="001A0B66">
        <w:rPr>
          <w:rFonts w:ascii="FrankRuehl" w:hAnsi="FrankRuehl" w:cs="FrankRuehl"/>
          <w:sz w:val="28"/>
          <w:szCs w:val="28"/>
          <w:rtl/>
        </w:rPr>
        <w:t xml:space="preserve"> על בית-המשפט, למרות הרושם המטעה שיצרו דברי התובעת, היה אפוא להגיע למסקנות ברורות כי לא קיימת עוד עילה להסתיר את זהותו של </w:t>
      </w:r>
      <w:proofErr w:type="spellStart"/>
      <w:r w:rsidRPr="001A0B66">
        <w:rPr>
          <w:rFonts w:ascii="FrankRuehl" w:hAnsi="FrankRuehl" w:cs="FrankRuehl"/>
          <w:sz w:val="28"/>
          <w:szCs w:val="28"/>
          <w:rtl/>
        </w:rPr>
        <w:t>זקזאק</w:t>
      </w:r>
      <w:proofErr w:type="spellEnd"/>
      <w:r w:rsidRPr="001A0B66">
        <w:rPr>
          <w:rFonts w:ascii="FrankRuehl" w:hAnsi="FrankRuehl" w:cs="FrankRuehl"/>
          <w:sz w:val="28"/>
          <w:szCs w:val="28"/>
          <w:rtl/>
        </w:rPr>
        <w:t>, וכי, על-כל-פנים, בחומר החסוי מצויות ראיות הדרושות להגנתו של המערער. בכך כשלה גם רמת הביקורת השלישית של תעודת החיסיון. על-אף כישלונה של התביעה במילוי תפקידה אין מקום למעט גם מאחריותו של בית-המשפט המחוזי, אשר החלטתו השגויה הובילה לקיפוח חמור של הגנתו של המערער ולעיוות דין.</w:t>
      </w:r>
    </w:p>
    <w:p w14:paraId="6B7855EE" w14:textId="77777777" w:rsidR="006844B2" w:rsidRPr="001A0B66" w:rsidRDefault="00346C80"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[השופט קדמי</w:t>
      </w:r>
      <w:r w:rsidR="006E59D0" w:rsidRPr="001A0B66">
        <w:rPr>
          <w:rFonts w:ascii="FrankRuehl" w:hAnsi="FrankRuehl" w:cs="FrankRuehl"/>
          <w:sz w:val="28"/>
          <w:szCs w:val="28"/>
          <w:rtl/>
        </w:rPr>
        <w:t xml:space="preserve"> – ההדגש</w:t>
      </w:r>
      <w:r w:rsidR="00630F90" w:rsidRPr="001A0B66">
        <w:rPr>
          <w:rFonts w:ascii="FrankRuehl" w:hAnsi="FrankRuehl" w:cs="FrankRuehl"/>
          <w:sz w:val="28"/>
          <w:szCs w:val="28"/>
          <w:rtl/>
        </w:rPr>
        <w:t>ה</w:t>
      </w:r>
      <w:r w:rsidR="00C417FC" w:rsidRPr="001A0B66">
        <w:rPr>
          <w:rFonts w:ascii="FrankRuehl" w:hAnsi="FrankRuehl" w:cs="FrankRuehl"/>
          <w:sz w:val="28"/>
          <w:szCs w:val="28"/>
          <w:rtl/>
        </w:rPr>
        <w:t xml:space="preserve"> להלן</w:t>
      </w:r>
      <w:r w:rsidR="006E59D0" w:rsidRPr="001A0B66">
        <w:rPr>
          <w:rFonts w:ascii="FrankRuehl" w:hAnsi="FrankRuehl" w:cs="FrankRuehl"/>
          <w:sz w:val="28"/>
          <w:szCs w:val="28"/>
          <w:rtl/>
        </w:rPr>
        <w:t xml:space="preserve"> הוספ</w:t>
      </w:r>
      <w:r w:rsidR="00630F90" w:rsidRPr="001A0B66">
        <w:rPr>
          <w:rFonts w:ascii="FrankRuehl" w:hAnsi="FrankRuehl" w:cs="FrankRuehl"/>
          <w:sz w:val="28"/>
          <w:szCs w:val="28"/>
          <w:rtl/>
        </w:rPr>
        <w:t>ה</w:t>
      </w:r>
      <w:r w:rsidRPr="001A0B66">
        <w:rPr>
          <w:rFonts w:ascii="FrankRuehl" w:hAnsi="FrankRuehl" w:cs="FrankRuehl"/>
          <w:sz w:val="28"/>
          <w:szCs w:val="28"/>
          <w:rtl/>
        </w:rPr>
        <w:t>]</w:t>
      </w:r>
      <w:r w:rsidR="009B0C5D" w:rsidRPr="001A0B66">
        <w:rPr>
          <w:rFonts w:ascii="FrankRuehl" w:hAnsi="FrankRuehl" w:cs="FrankRuehl"/>
          <w:sz w:val="28"/>
          <w:szCs w:val="28"/>
          <w:rtl/>
        </w:rPr>
        <w:t xml:space="preserve"> </w:t>
      </w:r>
      <w:r w:rsidRPr="001A0B66">
        <w:rPr>
          <w:rFonts w:ascii="FrankRuehl" w:hAnsi="FrankRuehl" w:cs="FrankRuehl"/>
          <w:sz w:val="28"/>
          <w:szCs w:val="28"/>
          <w:rtl/>
        </w:rPr>
        <w:t xml:space="preserve">1. </w:t>
      </w:r>
      <w:r w:rsidR="00FC649A" w:rsidRPr="001A0B66">
        <w:rPr>
          <w:rFonts w:ascii="FrankRuehl" w:hAnsi="FrankRuehl" w:cs="FrankRuehl"/>
          <w:sz w:val="28"/>
          <w:szCs w:val="28"/>
          <w:rtl/>
        </w:rPr>
        <w:t>[</w:t>
      </w:r>
      <w:r w:rsidRPr="001A0B66">
        <w:rPr>
          <w:rFonts w:ascii="FrankRuehl" w:hAnsi="FrankRuehl" w:cs="FrankRuehl"/>
          <w:sz w:val="28"/>
          <w:szCs w:val="28"/>
          <w:rtl/>
        </w:rPr>
        <w:t>...</w:t>
      </w:r>
      <w:r w:rsidR="00FC649A" w:rsidRPr="001A0B66">
        <w:rPr>
          <w:rFonts w:ascii="FrankRuehl" w:hAnsi="FrankRuehl" w:cs="FrankRuehl"/>
          <w:sz w:val="28"/>
          <w:szCs w:val="28"/>
          <w:rtl/>
        </w:rPr>
        <w:t>]</w:t>
      </w:r>
      <w:r w:rsidRPr="001A0B66">
        <w:rPr>
          <w:rFonts w:ascii="FrankRuehl" w:hAnsi="FrankRuehl" w:cs="FrankRuehl"/>
          <w:sz w:val="28"/>
          <w:szCs w:val="28"/>
          <w:rtl/>
        </w:rPr>
        <w:t xml:space="preserve"> הרשעתו של המערער מבוססת על עדותו של עד יחיד, שהעיד כי ראה את המערער לוקח חלק בהכאת המנוח למוות, כאשר על-פי המידע שנמנע מן המערער, אותו עד יחיד מסר לחוקריו בתחילה כי לא יכול היה לראות מי מכה את המנוח משום שיריעות האוהל שבו הוכה היו מורדות והציע לחוקרים להחזירו למחנה המעצר, שם ינסה לברר מי היו המכים.</w:t>
      </w:r>
    </w:p>
    <w:p w14:paraId="02857437" w14:textId="77777777" w:rsidR="00346C80" w:rsidRPr="001A0B66" w:rsidRDefault="006844B2"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6E59D0" w:rsidRPr="001A0B66">
        <w:rPr>
          <w:rFonts w:ascii="FrankRuehl" w:hAnsi="FrankRuehl" w:cs="FrankRuehl"/>
          <w:sz w:val="28"/>
          <w:szCs w:val="28"/>
          <w:rtl/>
        </w:rPr>
        <w:t>...</w:t>
      </w:r>
      <w:r w:rsidRPr="001A0B66">
        <w:rPr>
          <w:rFonts w:ascii="FrankRuehl" w:hAnsi="FrankRuehl" w:cs="FrankRuehl"/>
          <w:sz w:val="28"/>
          <w:szCs w:val="28"/>
          <w:rtl/>
        </w:rPr>
        <w:t>]</w:t>
      </w:r>
    </w:p>
    <w:p w14:paraId="54C8130F" w14:textId="77777777" w:rsidR="00346C80" w:rsidRPr="001A0B66" w:rsidRDefault="00346C80"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2. כישלונם של הגורמים הנוגעים בדבר, בהערכת חשיבותו של המידע האמור להגנה, מצדיק, לדעתי, בחינת הנהגתו של הסדר פנימי, שלפיו בעתירה להסרת חיסיון מכוחו של סעיף 45 לפקודת הראיות, </w:t>
      </w:r>
      <w:r w:rsidRPr="001A0B66">
        <w:rPr>
          <w:rFonts w:ascii="FrankRuehl" w:hAnsi="FrankRuehl" w:cs="FrankRuehl"/>
          <w:b/>
          <w:bCs/>
          <w:sz w:val="28"/>
          <w:szCs w:val="28"/>
          <w:rtl/>
        </w:rPr>
        <w:t>תוצג עמדת המדינה על-ידי פרקליט שהוא "זר" לדיון העיקרי</w:t>
      </w:r>
      <w:r w:rsidRPr="001A0B66">
        <w:rPr>
          <w:rFonts w:ascii="FrankRuehl" w:hAnsi="FrankRuehl" w:cs="FrankRuehl"/>
          <w:sz w:val="28"/>
          <w:szCs w:val="28"/>
          <w:rtl/>
        </w:rPr>
        <w:t xml:space="preserve">, כפי שהדבר נעשה בדרך-כלל בדיון בעתירה להסרת חיסיון מכוחו של סעיף 44 לפקודה. נראה, שמעורבות בעניין העיקרי מקהה את </w:t>
      </w:r>
      <w:r w:rsidRPr="001A0B66">
        <w:rPr>
          <w:rFonts w:ascii="FrankRuehl" w:hAnsi="FrankRuehl" w:cs="FrankRuehl"/>
          <w:sz w:val="28"/>
          <w:szCs w:val="28"/>
          <w:rtl/>
        </w:rPr>
        <w:lastRenderedPageBreak/>
        <w:t>החושים בקשר להערכת חשיבותו של מידע חסוי להגנה, וראיה לכך בעובדה, שבחינת המידע החסוי בעיניים "זרות" לדיון העיקרי – מצדו של פרקליט מהלשכה הראשית של פרקליטות המדינה – הביאה במקרה דנא לחשיפת התקלה</w:t>
      </w:r>
      <w:r w:rsidR="001B21F5" w:rsidRPr="001A0B66">
        <w:rPr>
          <w:rFonts w:ascii="FrankRuehl" w:hAnsi="FrankRuehl" w:cs="FrankRuehl"/>
          <w:sz w:val="28"/>
          <w:szCs w:val="28"/>
          <w:rtl/>
        </w:rPr>
        <w:t>"</w:t>
      </w:r>
      <w:r w:rsidRPr="001A0B66">
        <w:rPr>
          <w:rFonts w:ascii="FrankRuehl" w:hAnsi="FrankRuehl" w:cs="FrankRuehl"/>
          <w:sz w:val="28"/>
          <w:szCs w:val="28"/>
          <w:rtl/>
        </w:rPr>
        <w:t>.</w:t>
      </w:r>
    </w:p>
    <w:p w14:paraId="1A8FFF52" w14:textId="77777777" w:rsidR="001275F9" w:rsidRPr="001A0B66" w:rsidRDefault="00214327"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בתמצית, </w:t>
      </w:r>
      <w:r w:rsidR="00302E37" w:rsidRPr="001A0B66">
        <w:rPr>
          <w:rFonts w:ascii="FrankRuehl" w:hAnsi="FrankRuehl" w:cs="FrankRuehl"/>
          <w:sz w:val="28"/>
          <w:szCs w:val="28"/>
          <w:rtl/>
        </w:rPr>
        <w:t xml:space="preserve">כל מנגנוני הבקרה הפנימיים בשירותי הביטחון ובפרקליטות וכן בית המשפט כשלו </w:t>
      </w:r>
      <w:r w:rsidRPr="001A0B66">
        <w:rPr>
          <w:rFonts w:ascii="FrankRuehl" w:hAnsi="FrankRuehl" w:cs="FrankRuehl"/>
          <w:sz w:val="28"/>
          <w:szCs w:val="28"/>
          <w:rtl/>
        </w:rPr>
        <w:t>במקרה זה</w:t>
      </w:r>
      <w:r w:rsidR="002B61C2" w:rsidRPr="001A0B66">
        <w:rPr>
          <w:rFonts w:ascii="FrankRuehl" w:hAnsi="FrankRuehl" w:cs="FrankRuehl"/>
          <w:sz w:val="28"/>
          <w:szCs w:val="28"/>
          <w:rtl/>
        </w:rPr>
        <w:t>.</w:t>
      </w:r>
      <w:r w:rsidRPr="001A0B66">
        <w:rPr>
          <w:rFonts w:ascii="FrankRuehl" w:hAnsi="FrankRuehl" w:cs="FrankRuehl"/>
          <w:sz w:val="28"/>
          <w:szCs w:val="28"/>
          <w:rtl/>
        </w:rPr>
        <w:t xml:space="preserve"> הם </w:t>
      </w:r>
      <w:r w:rsidR="00E73FEF" w:rsidRPr="001A0B66">
        <w:rPr>
          <w:rFonts w:ascii="FrankRuehl" w:hAnsi="FrankRuehl" w:cs="FrankRuehl"/>
          <w:sz w:val="28"/>
          <w:szCs w:val="28"/>
          <w:rtl/>
        </w:rPr>
        <w:t xml:space="preserve">קבעו </w:t>
      </w:r>
      <w:r w:rsidR="00302E37" w:rsidRPr="001A0B66">
        <w:rPr>
          <w:rFonts w:ascii="FrankRuehl" w:hAnsi="FrankRuehl" w:cs="FrankRuehl"/>
          <w:sz w:val="28"/>
          <w:szCs w:val="28"/>
          <w:rtl/>
        </w:rPr>
        <w:t xml:space="preserve">שהחומר החסוי לא היה חיוני להגנתו של אבו סעדה, </w:t>
      </w:r>
      <w:r w:rsidR="00FC649A" w:rsidRPr="001A0B66">
        <w:rPr>
          <w:rFonts w:ascii="FrankRuehl" w:hAnsi="FrankRuehl" w:cs="FrankRuehl"/>
          <w:sz w:val="28"/>
          <w:szCs w:val="28"/>
          <w:rtl/>
        </w:rPr>
        <w:t xml:space="preserve">אף </w:t>
      </w:r>
      <w:r w:rsidR="00302E37" w:rsidRPr="001A0B66">
        <w:rPr>
          <w:rFonts w:ascii="FrankRuehl" w:hAnsi="FrankRuehl" w:cs="FrankRuehl"/>
          <w:sz w:val="28"/>
          <w:szCs w:val="28"/>
          <w:rtl/>
        </w:rPr>
        <w:t>ש</w:t>
      </w:r>
      <w:r w:rsidR="00FC649A" w:rsidRPr="001A0B66">
        <w:rPr>
          <w:rFonts w:ascii="FrankRuehl" w:hAnsi="FrankRuehl" w:cs="FrankRuehl"/>
          <w:sz w:val="28"/>
          <w:szCs w:val="28"/>
          <w:rtl/>
        </w:rPr>
        <w:t>הייתה לו</w:t>
      </w:r>
      <w:r w:rsidR="00302E37" w:rsidRPr="001A0B66">
        <w:rPr>
          <w:rFonts w:ascii="FrankRuehl" w:hAnsi="FrankRuehl" w:cs="FrankRuehl"/>
          <w:sz w:val="28"/>
          <w:szCs w:val="28"/>
          <w:rtl/>
        </w:rPr>
        <w:t xml:space="preserve"> חשיבות </w:t>
      </w:r>
      <w:r w:rsidR="00FC649A" w:rsidRPr="001A0B66">
        <w:rPr>
          <w:rFonts w:ascii="FrankRuehl" w:hAnsi="FrankRuehl" w:cs="FrankRuehl"/>
          <w:sz w:val="28"/>
          <w:szCs w:val="28"/>
          <w:rtl/>
        </w:rPr>
        <w:t xml:space="preserve">מכרעת </w:t>
      </w:r>
      <w:r w:rsidR="00302E37" w:rsidRPr="001A0B66">
        <w:rPr>
          <w:rFonts w:ascii="FrankRuehl" w:hAnsi="FrankRuehl" w:cs="FrankRuehl"/>
          <w:sz w:val="28"/>
          <w:szCs w:val="28"/>
          <w:rtl/>
        </w:rPr>
        <w:t>ו</w:t>
      </w:r>
      <w:r w:rsidR="00FC649A" w:rsidRPr="001A0B66">
        <w:rPr>
          <w:rFonts w:ascii="FrankRuehl" w:hAnsi="FrankRuehl" w:cs="FrankRuehl"/>
          <w:sz w:val="28"/>
          <w:szCs w:val="28"/>
          <w:rtl/>
        </w:rPr>
        <w:t xml:space="preserve">למעשה הוא </w:t>
      </w:r>
      <w:r w:rsidR="00302E37" w:rsidRPr="001A0B66">
        <w:rPr>
          <w:rFonts w:ascii="FrankRuehl" w:hAnsi="FrankRuehl" w:cs="FrankRuehl"/>
          <w:sz w:val="28"/>
          <w:szCs w:val="28"/>
          <w:rtl/>
        </w:rPr>
        <w:t>הוביל לזיכויו מאשמה. מי שגילה את הכשל היה פרקליט נוסף שקיבל את התיק לטיפולו בשלב הערעור. כ</w:t>
      </w:r>
      <w:r w:rsidR="00FC649A" w:rsidRPr="001A0B66">
        <w:rPr>
          <w:rFonts w:ascii="FrankRuehl" w:hAnsi="FrankRuehl" w:cs="FrankRuehl"/>
          <w:sz w:val="28"/>
          <w:szCs w:val="28"/>
          <w:rtl/>
        </w:rPr>
        <w:t>י</w:t>
      </w:r>
      <w:r w:rsidR="00302E37" w:rsidRPr="001A0B66">
        <w:rPr>
          <w:rFonts w:ascii="FrankRuehl" w:hAnsi="FrankRuehl" w:cs="FrankRuehl"/>
          <w:sz w:val="28"/>
          <w:szCs w:val="28"/>
          <w:rtl/>
        </w:rPr>
        <w:t xml:space="preserve">שלון זה </w:t>
      </w:r>
      <w:r w:rsidR="00FC649A" w:rsidRPr="001A0B66">
        <w:rPr>
          <w:rFonts w:ascii="FrankRuehl" w:hAnsi="FrankRuehl" w:cs="FrankRuehl"/>
          <w:sz w:val="28"/>
          <w:szCs w:val="28"/>
          <w:rtl/>
        </w:rPr>
        <w:t xml:space="preserve">הוביל </w:t>
      </w:r>
      <w:r w:rsidR="00302E37" w:rsidRPr="001A0B66">
        <w:rPr>
          <w:rFonts w:ascii="FrankRuehl" w:hAnsi="FrankRuehl" w:cs="FrankRuehl"/>
          <w:sz w:val="28"/>
          <w:szCs w:val="28"/>
          <w:rtl/>
        </w:rPr>
        <w:t xml:space="preserve">את בית המשפט העליון לקבוע שבחינת המידע החסוי בעיניים "זרות" של הפרקליט הנוסף </w:t>
      </w:r>
      <w:r w:rsidR="00FC649A" w:rsidRPr="001A0B66">
        <w:rPr>
          <w:rFonts w:ascii="FrankRuehl" w:hAnsi="FrankRuehl" w:cs="FrankRuehl"/>
          <w:sz w:val="28"/>
          <w:szCs w:val="28"/>
          <w:rtl/>
        </w:rPr>
        <w:t xml:space="preserve">הובילה </w:t>
      </w:r>
      <w:r w:rsidR="00302E37" w:rsidRPr="001A0B66">
        <w:rPr>
          <w:rFonts w:ascii="FrankRuehl" w:hAnsi="FrankRuehl" w:cs="FrankRuehl"/>
          <w:sz w:val="28"/>
          <w:szCs w:val="28"/>
          <w:rtl/>
        </w:rPr>
        <w:t>לחשיפת הכשל ואפשרה</w:t>
      </w:r>
      <w:r w:rsidR="00FC649A" w:rsidRPr="001A0B66">
        <w:rPr>
          <w:rFonts w:ascii="FrankRuehl" w:hAnsi="FrankRuehl" w:cs="FrankRuehl"/>
          <w:sz w:val="28"/>
          <w:szCs w:val="28"/>
          <w:rtl/>
        </w:rPr>
        <w:t xml:space="preserve"> לנאשם</w:t>
      </w:r>
      <w:r w:rsidR="00302E37" w:rsidRPr="001A0B66">
        <w:rPr>
          <w:rFonts w:ascii="FrankRuehl" w:hAnsi="FrankRuehl" w:cs="FrankRuehl"/>
          <w:sz w:val="28"/>
          <w:szCs w:val="28"/>
          <w:rtl/>
        </w:rPr>
        <w:t xml:space="preserve"> הגנה נאותה</w:t>
      </w:r>
      <w:r w:rsidR="00996BF0" w:rsidRPr="001A0B66">
        <w:rPr>
          <w:rFonts w:ascii="FrankRuehl" w:hAnsi="FrankRuehl" w:cs="FrankRuehl"/>
          <w:sz w:val="28"/>
          <w:szCs w:val="28"/>
          <w:rtl/>
        </w:rPr>
        <w:t xml:space="preserve">. בדומה להצעת החוק ולמודל "הפרקליט המיוחד", </w:t>
      </w:r>
      <w:r w:rsidR="00FC649A" w:rsidRPr="001A0B66">
        <w:rPr>
          <w:rFonts w:ascii="FrankRuehl" w:hAnsi="FrankRuehl" w:cs="FrankRuehl"/>
          <w:sz w:val="28"/>
          <w:szCs w:val="28"/>
          <w:rtl/>
        </w:rPr>
        <w:t xml:space="preserve">שופטי בית המשפט מציעים לבחון הסדר </w:t>
      </w:r>
      <w:r w:rsidR="00996BF0" w:rsidRPr="001A0B66">
        <w:rPr>
          <w:rFonts w:ascii="FrankRuehl" w:hAnsi="FrankRuehl" w:cs="FrankRuehl"/>
          <w:sz w:val="28"/>
          <w:szCs w:val="28"/>
          <w:rtl/>
        </w:rPr>
        <w:t>ש</w:t>
      </w:r>
      <w:r w:rsidR="00FC649A" w:rsidRPr="001A0B66">
        <w:rPr>
          <w:rFonts w:ascii="FrankRuehl" w:hAnsi="FrankRuehl" w:cs="FrankRuehl"/>
          <w:sz w:val="28"/>
          <w:szCs w:val="28"/>
          <w:rtl/>
        </w:rPr>
        <w:t xml:space="preserve">לפיו </w:t>
      </w:r>
      <w:r w:rsidR="00996BF0" w:rsidRPr="001A0B66">
        <w:rPr>
          <w:rFonts w:ascii="FrankRuehl" w:hAnsi="FrankRuehl" w:cs="FrankRuehl"/>
          <w:sz w:val="28"/>
          <w:szCs w:val="28"/>
          <w:rtl/>
        </w:rPr>
        <w:t xml:space="preserve">פרקליט אחר </w:t>
      </w:r>
      <w:r w:rsidR="00FC649A" w:rsidRPr="001A0B66">
        <w:rPr>
          <w:rFonts w:ascii="FrankRuehl" w:hAnsi="FrankRuehl" w:cs="FrankRuehl"/>
          <w:sz w:val="28"/>
          <w:szCs w:val="28"/>
          <w:rtl/>
        </w:rPr>
        <w:t xml:space="preserve">– </w:t>
      </w:r>
      <w:r w:rsidR="00996BF0" w:rsidRPr="001A0B66">
        <w:rPr>
          <w:rFonts w:ascii="FrankRuehl" w:hAnsi="FrankRuehl" w:cs="FrankRuehl"/>
          <w:sz w:val="28"/>
          <w:szCs w:val="28"/>
          <w:rtl/>
        </w:rPr>
        <w:t>שאינו ממונה על הטיפול בתיק כולו</w:t>
      </w:r>
      <w:r w:rsidR="00FC649A" w:rsidRPr="001A0B66">
        <w:rPr>
          <w:rFonts w:ascii="FrankRuehl" w:hAnsi="FrankRuehl" w:cs="FrankRuehl"/>
          <w:sz w:val="28"/>
          <w:szCs w:val="28"/>
          <w:rtl/>
        </w:rPr>
        <w:t xml:space="preserve"> –</w:t>
      </w:r>
      <w:r w:rsidR="00996BF0" w:rsidRPr="001A0B66">
        <w:rPr>
          <w:rFonts w:ascii="FrankRuehl" w:hAnsi="FrankRuehl" w:cs="FrankRuehl"/>
          <w:sz w:val="28"/>
          <w:szCs w:val="28"/>
          <w:rtl/>
        </w:rPr>
        <w:t xml:space="preserve"> יטפל בנושא החומר החסוי. </w:t>
      </w:r>
      <w:r w:rsidRPr="001A0B66">
        <w:rPr>
          <w:rFonts w:ascii="FrankRuehl" w:hAnsi="FrankRuehl" w:cs="FrankRuehl"/>
          <w:sz w:val="28"/>
          <w:szCs w:val="28"/>
          <w:rtl/>
        </w:rPr>
        <w:t xml:space="preserve">נזכור כי </w:t>
      </w:r>
      <w:r w:rsidR="00914F9A" w:rsidRPr="001A0B66">
        <w:rPr>
          <w:rFonts w:ascii="FrankRuehl" w:hAnsi="FrankRuehl" w:cs="FrankRuehl"/>
          <w:sz w:val="28"/>
          <w:szCs w:val="28"/>
          <w:rtl/>
        </w:rPr>
        <w:t xml:space="preserve">אבו סעדה נדון בהליך פלילי </w:t>
      </w:r>
      <w:r w:rsidR="00FC649A" w:rsidRPr="001A0B66">
        <w:rPr>
          <w:rFonts w:ascii="FrankRuehl" w:hAnsi="FrankRuehl" w:cs="FrankRuehl"/>
          <w:sz w:val="28"/>
          <w:szCs w:val="28"/>
          <w:rtl/>
        </w:rPr>
        <w:t>ש</w:t>
      </w:r>
      <w:r w:rsidR="00914F9A" w:rsidRPr="001A0B66">
        <w:rPr>
          <w:rFonts w:ascii="FrankRuehl" w:hAnsi="FrankRuehl" w:cs="FrankRuehl"/>
          <w:sz w:val="28"/>
          <w:szCs w:val="28"/>
          <w:rtl/>
        </w:rPr>
        <w:t>בו</w:t>
      </w:r>
      <w:r w:rsidRPr="001A0B66">
        <w:rPr>
          <w:rFonts w:ascii="FrankRuehl" w:hAnsi="FrankRuehl" w:cs="FrankRuehl"/>
          <w:sz w:val="28"/>
          <w:szCs w:val="28"/>
          <w:rtl/>
        </w:rPr>
        <w:t>, כאמור,</w:t>
      </w:r>
      <w:r w:rsidR="00914F9A" w:rsidRPr="001A0B66">
        <w:rPr>
          <w:rFonts w:ascii="FrankRuehl" w:hAnsi="FrankRuehl" w:cs="FrankRuehl"/>
          <w:sz w:val="28"/>
          <w:szCs w:val="28"/>
          <w:rtl/>
        </w:rPr>
        <w:t xml:space="preserve"> מרבית חומר הראיות גלוי. </w:t>
      </w:r>
      <w:r w:rsidR="00996BF0" w:rsidRPr="001A0B66">
        <w:rPr>
          <w:rFonts w:ascii="FrankRuehl" w:hAnsi="FrankRuehl" w:cs="FrankRuehl"/>
          <w:sz w:val="28"/>
          <w:szCs w:val="28"/>
          <w:rtl/>
        </w:rPr>
        <w:t>בהליכי מעצר מנהלי</w:t>
      </w:r>
      <w:r w:rsidR="00914F9A" w:rsidRPr="001A0B66">
        <w:rPr>
          <w:rFonts w:ascii="FrankRuehl" w:hAnsi="FrankRuehl" w:cs="FrankRuehl"/>
          <w:sz w:val="28"/>
          <w:szCs w:val="28"/>
          <w:rtl/>
        </w:rPr>
        <w:t xml:space="preserve"> כל חומר הראיות חסוי</w:t>
      </w:r>
      <w:r w:rsidR="00996BF0" w:rsidRPr="001A0B66">
        <w:rPr>
          <w:rFonts w:ascii="FrankRuehl" w:hAnsi="FrankRuehl" w:cs="FrankRuehl"/>
          <w:sz w:val="28"/>
          <w:szCs w:val="28"/>
          <w:rtl/>
        </w:rPr>
        <w:t xml:space="preserve">, </w:t>
      </w:r>
      <w:r w:rsidR="00914F9A" w:rsidRPr="001A0B66">
        <w:rPr>
          <w:rFonts w:ascii="FrankRuehl" w:hAnsi="FrankRuehl" w:cs="FrankRuehl"/>
          <w:sz w:val="28"/>
          <w:szCs w:val="28"/>
          <w:rtl/>
        </w:rPr>
        <w:t xml:space="preserve">ולכן </w:t>
      </w:r>
      <w:r w:rsidR="009E62EF" w:rsidRPr="001A0B66">
        <w:rPr>
          <w:rFonts w:ascii="FrankRuehl" w:hAnsi="FrankRuehl" w:cs="FrankRuehl"/>
          <w:sz w:val="28"/>
          <w:szCs w:val="28"/>
          <w:rtl/>
        </w:rPr>
        <w:t xml:space="preserve">על פי מודל </w:t>
      </w:r>
      <w:r w:rsidR="00996BF0" w:rsidRPr="001A0B66">
        <w:rPr>
          <w:rFonts w:ascii="FrankRuehl" w:hAnsi="FrankRuehl" w:cs="FrankRuehl"/>
          <w:sz w:val="28"/>
          <w:szCs w:val="28"/>
          <w:rtl/>
        </w:rPr>
        <w:t>הפרקליט המיוחד</w:t>
      </w:r>
      <w:r w:rsidR="009E62EF" w:rsidRPr="001A0B66">
        <w:rPr>
          <w:rFonts w:ascii="FrankRuehl" w:hAnsi="FrankRuehl" w:cs="FrankRuehl"/>
          <w:sz w:val="28"/>
          <w:szCs w:val="28"/>
          <w:rtl/>
        </w:rPr>
        <w:t>,</w:t>
      </w:r>
      <w:r w:rsidR="00996BF0" w:rsidRPr="001A0B66">
        <w:rPr>
          <w:rFonts w:ascii="FrankRuehl" w:hAnsi="FrankRuehl" w:cs="FrankRuehl"/>
          <w:sz w:val="28"/>
          <w:szCs w:val="28"/>
          <w:rtl/>
        </w:rPr>
        <w:t xml:space="preserve"> הוא ממונה מטעם העצור</w:t>
      </w:r>
      <w:r w:rsidR="00914F9A" w:rsidRPr="001A0B66">
        <w:rPr>
          <w:rFonts w:ascii="FrankRuehl" w:hAnsi="FrankRuehl" w:cs="FrankRuehl"/>
          <w:sz w:val="28"/>
          <w:szCs w:val="28"/>
          <w:rtl/>
        </w:rPr>
        <w:t xml:space="preserve"> ולא מטעם התביעה,</w:t>
      </w:r>
      <w:r w:rsidR="00914F9A" w:rsidRPr="001A0B66">
        <w:rPr>
          <w:rFonts w:ascii="FrankRuehl" w:hAnsi="FrankRuehl" w:cs="FrankRuehl"/>
          <w:sz w:val="28"/>
          <w:szCs w:val="28"/>
        </w:rPr>
        <w:t xml:space="preserve"> </w:t>
      </w:r>
      <w:r w:rsidR="00FC649A" w:rsidRPr="001A0B66">
        <w:rPr>
          <w:rFonts w:ascii="FrankRuehl" w:hAnsi="FrankRuehl" w:cs="FrankRuehl"/>
          <w:sz w:val="28"/>
          <w:szCs w:val="28"/>
          <w:rtl/>
        </w:rPr>
        <w:t>ותפקידו הוא</w:t>
      </w:r>
      <w:r w:rsidR="00914F9A" w:rsidRPr="001A0B66">
        <w:rPr>
          <w:rFonts w:ascii="FrankRuehl" w:hAnsi="FrankRuehl" w:cs="FrankRuehl"/>
          <w:sz w:val="28"/>
          <w:szCs w:val="28"/>
          <w:rtl/>
        </w:rPr>
        <w:t xml:space="preserve"> לייצג את אינטרס העצור</w:t>
      </w:r>
      <w:r w:rsidR="006844B2" w:rsidRPr="001A0B66">
        <w:rPr>
          <w:rFonts w:ascii="FrankRuehl" w:hAnsi="FrankRuehl" w:cs="FrankRuehl"/>
          <w:sz w:val="28"/>
          <w:szCs w:val="28"/>
          <w:rtl/>
        </w:rPr>
        <w:t>.</w:t>
      </w:r>
    </w:p>
    <w:p w14:paraId="2142A13E" w14:textId="77777777" w:rsidR="003D16B4" w:rsidRPr="001A0B66" w:rsidRDefault="003D16B4" w:rsidP="00F307FB">
      <w:pPr>
        <w:pStyle w:val="Heading1"/>
        <w:spacing w:line="276" w:lineRule="auto"/>
        <w:rPr>
          <w:rFonts w:ascii="FrankRuehl" w:hAnsi="FrankRuehl" w:cs="FrankRuehl"/>
          <w:rtl/>
        </w:rPr>
      </w:pPr>
      <w:bookmarkStart w:id="45" w:name="_Toc52981440"/>
      <w:bookmarkStart w:id="46" w:name="_Toc52984559"/>
      <w:bookmarkStart w:id="47" w:name="_Toc53124425"/>
      <w:bookmarkStart w:id="48" w:name="_Toc53143376"/>
      <w:r w:rsidRPr="001A0B66">
        <w:rPr>
          <w:rFonts w:ascii="FrankRuehl" w:hAnsi="FrankRuehl" w:cs="FrankRuehl"/>
          <w:rtl/>
        </w:rPr>
        <w:t>הצעתנו</w:t>
      </w:r>
      <w:r w:rsidR="00E66093" w:rsidRPr="001A0B66">
        <w:rPr>
          <w:rFonts w:ascii="FrankRuehl" w:hAnsi="FrankRuehl" w:cs="FrankRuehl"/>
          <w:rtl/>
        </w:rPr>
        <w:t xml:space="preserve"> </w:t>
      </w:r>
      <w:r w:rsidR="005A4B7E" w:rsidRPr="001A0B66">
        <w:rPr>
          <w:rFonts w:ascii="FrankRuehl" w:hAnsi="FrankRuehl" w:cs="FrankRuehl"/>
          <w:rtl/>
        </w:rPr>
        <w:t>למודל הפרקליט המיוחד</w:t>
      </w:r>
      <w:bookmarkEnd w:id="45"/>
      <w:bookmarkEnd w:id="46"/>
      <w:bookmarkEnd w:id="47"/>
      <w:bookmarkEnd w:id="48"/>
    </w:p>
    <w:p w14:paraId="143080B2" w14:textId="77777777" w:rsidR="00214327" w:rsidRPr="001A0B66" w:rsidRDefault="00D514CA"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אנו מאמצים את </w:t>
      </w:r>
      <w:r w:rsidR="00914F9A" w:rsidRPr="001A0B66">
        <w:rPr>
          <w:rFonts w:ascii="FrankRuehl" w:hAnsi="FrankRuehl" w:cs="FrankRuehl"/>
          <w:sz w:val="28"/>
          <w:szCs w:val="28"/>
          <w:rtl/>
        </w:rPr>
        <w:t xml:space="preserve">הכיוון </w:t>
      </w:r>
      <w:r w:rsidRPr="001A0B66">
        <w:rPr>
          <w:rFonts w:ascii="FrankRuehl" w:hAnsi="FrankRuehl" w:cs="FrankRuehl"/>
          <w:sz w:val="28"/>
          <w:szCs w:val="28"/>
          <w:rtl/>
        </w:rPr>
        <w:t>של הצעת החוק ל</w:t>
      </w:r>
      <w:r w:rsidR="00E73FEF" w:rsidRPr="001A0B66">
        <w:rPr>
          <w:rFonts w:ascii="FrankRuehl" w:hAnsi="FrankRuehl" w:cs="FrankRuehl"/>
          <w:sz w:val="28"/>
          <w:szCs w:val="28"/>
          <w:rtl/>
        </w:rPr>
        <w:t xml:space="preserve">הפעיל </w:t>
      </w:r>
      <w:r w:rsidRPr="001A0B66">
        <w:rPr>
          <w:rFonts w:ascii="FrankRuehl" w:hAnsi="FrankRuehl" w:cs="FrankRuehl"/>
          <w:sz w:val="28"/>
          <w:szCs w:val="28"/>
          <w:rtl/>
        </w:rPr>
        <w:t xml:space="preserve">את מודל הפרקליט המיוחד, אך </w:t>
      </w:r>
      <w:r w:rsidR="00CD5EB2">
        <w:rPr>
          <w:rFonts w:ascii="FrankRuehl" w:hAnsi="FrankRuehl" w:cs="FrankRuehl"/>
          <w:sz w:val="28"/>
          <w:szCs w:val="28"/>
          <w:rtl/>
        </w:rPr>
        <w:t xml:space="preserve">איננו מאמצים חלק מפרטיה; </w:t>
      </w:r>
      <w:r w:rsidRPr="001A0B66">
        <w:rPr>
          <w:rFonts w:ascii="FrankRuehl" w:hAnsi="FrankRuehl" w:cs="FrankRuehl"/>
          <w:sz w:val="28"/>
          <w:szCs w:val="28"/>
          <w:rtl/>
        </w:rPr>
        <w:t xml:space="preserve">יש לנו הצעות רבות ביחס להסדר שאותו </w:t>
      </w:r>
      <w:r w:rsidR="00704948" w:rsidRPr="001A0B66">
        <w:rPr>
          <w:rFonts w:ascii="FrankRuehl" w:hAnsi="FrankRuehl" w:cs="FrankRuehl"/>
          <w:sz w:val="28"/>
          <w:szCs w:val="28"/>
          <w:rtl/>
        </w:rPr>
        <w:t xml:space="preserve">ראוי </w:t>
      </w:r>
      <w:r w:rsidRPr="001A0B66">
        <w:rPr>
          <w:rFonts w:ascii="FrankRuehl" w:hAnsi="FrankRuehl" w:cs="FrankRuehl"/>
          <w:sz w:val="28"/>
          <w:szCs w:val="28"/>
          <w:rtl/>
        </w:rPr>
        <w:t xml:space="preserve">לנקוט. </w:t>
      </w:r>
      <w:r w:rsidR="00704948" w:rsidRPr="001A0B66">
        <w:rPr>
          <w:rFonts w:ascii="FrankRuehl" w:hAnsi="FrankRuehl" w:cs="FrankRuehl"/>
          <w:sz w:val="28"/>
          <w:szCs w:val="28"/>
          <w:rtl/>
        </w:rPr>
        <w:t xml:space="preserve">להלן </w:t>
      </w:r>
      <w:r w:rsidRPr="001A0B66">
        <w:rPr>
          <w:rFonts w:ascii="FrankRuehl" w:hAnsi="FrankRuehl" w:cs="FrankRuehl"/>
          <w:sz w:val="28"/>
          <w:szCs w:val="28"/>
          <w:rtl/>
        </w:rPr>
        <w:t>נפרט וננמק זאת בהרחבה</w:t>
      </w:r>
      <w:r w:rsidR="00704948" w:rsidRPr="001A0B66">
        <w:rPr>
          <w:rFonts w:ascii="FrankRuehl" w:hAnsi="FrankRuehl" w:cs="FrankRuehl"/>
          <w:sz w:val="28"/>
          <w:szCs w:val="28"/>
          <w:rtl/>
        </w:rPr>
        <w:t xml:space="preserve">, ונביא </w:t>
      </w:r>
      <w:r w:rsidR="00E41EF2">
        <w:rPr>
          <w:rFonts w:ascii="FrankRuehl" w:hAnsi="FrankRuehl" w:cs="FrankRuehl"/>
          <w:sz w:val="28"/>
          <w:szCs w:val="28"/>
          <w:rtl/>
        </w:rPr>
        <w:t>בסוף המאמר, כ</w:t>
      </w:r>
      <w:r w:rsidR="00704948" w:rsidRPr="001A0B66">
        <w:rPr>
          <w:rFonts w:ascii="FrankRuehl" w:hAnsi="FrankRuehl" w:cs="FrankRuehl"/>
          <w:sz w:val="28"/>
          <w:szCs w:val="28"/>
          <w:rtl/>
        </w:rPr>
        <w:t>נספח</w:t>
      </w:r>
      <w:r w:rsidR="00E41EF2">
        <w:rPr>
          <w:rFonts w:ascii="FrankRuehl" w:hAnsi="FrankRuehl" w:cs="FrankRuehl"/>
          <w:sz w:val="28"/>
          <w:szCs w:val="28"/>
          <w:rtl/>
        </w:rPr>
        <w:t>,</w:t>
      </w:r>
      <w:r w:rsidRPr="001A0B66">
        <w:rPr>
          <w:rFonts w:ascii="FrankRuehl" w:hAnsi="FrankRuehl" w:cs="FrankRuehl"/>
          <w:sz w:val="28"/>
          <w:szCs w:val="28"/>
          <w:rtl/>
        </w:rPr>
        <w:t xml:space="preserve"> </w:t>
      </w:r>
      <w:r w:rsidR="00350359" w:rsidRPr="001A0B66">
        <w:rPr>
          <w:rFonts w:ascii="FrankRuehl" w:hAnsi="FrankRuehl" w:cs="FrankRuehl"/>
          <w:sz w:val="28"/>
          <w:szCs w:val="28"/>
          <w:rtl/>
        </w:rPr>
        <w:t xml:space="preserve">נוסח </w:t>
      </w:r>
      <w:r w:rsidR="00E66093" w:rsidRPr="001A0B66">
        <w:rPr>
          <w:rFonts w:ascii="FrankRuehl" w:hAnsi="FrankRuehl" w:cs="FrankRuehl"/>
          <w:sz w:val="28"/>
          <w:szCs w:val="28"/>
          <w:rtl/>
        </w:rPr>
        <w:t>קונקרטי</w:t>
      </w:r>
      <w:r w:rsidR="00E41EF2">
        <w:rPr>
          <w:rFonts w:ascii="FrankRuehl" w:hAnsi="FrankRuehl" w:cs="FrankRuehl"/>
          <w:sz w:val="28"/>
          <w:szCs w:val="28"/>
          <w:rtl/>
        </w:rPr>
        <w:t xml:space="preserve"> של הצעת חוק מלאה</w:t>
      </w:r>
      <w:r w:rsidR="00350359" w:rsidRPr="001A0B66">
        <w:rPr>
          <w:rFonts w:ascii="FrankRuehl" w:hAnsi="FrankRuehl" w:cs="FrankRuehl"/>
          <w:sz w:val="28"/>
          <w:szCs w:val="28"/>
          <w:rtl/>
        </w:rPr>
        <w:t xml:space="preserve">. </w:t>
      </w:r>
    </w:p>
    <w:p w14:paraId="23C5F6D8" w14:textId="77777777" w:rsidR="000F51C4" w:rsidRPr="001A0B66" w:rsidRDefault="000F51C4" w:rsidP="00F307FB">
      <w:pPr>
        <w:pStyle w:val="a1"/>
        <w:spacing w:line="276" w:lineRule="auto"/>
        <w:ind w:firstLine="720"/>
        <w:rPr>
          <w:rFonts w:ascii="FrankRuehl" w:hAnsi="FrankRuehl" w:cs="FrankRuehl"/>
          <w:sz w:val="28"/>
          <w:szCs w:val="28"/>
          <w:rtl/>
        </w:rPr>
      </w:pPr>
      <w:r w:rsidRPr="001A0B66">
        <w:rPr>
          <w:rFonts w:ascii="FrankRuehl" w:hAnsi="FrankRuehl" w:cs="FrankRuehl"/>
          <w:sz w:val="28"/>
          <w:szCs w:val="28"/>
          <w:rtl/>
        </w:rPr>
        <w:t xml:space="preserve">בתמצית, אנו מציעים </w:t>
      </w:r>
      <w:r w:rsidR="0036234B" w:rsidRPr="001A0B66">
        <w:rPr>
          <w:rFonts w:ascii="FrankRuehl" w:hAnsi="FrankRuehl" w:cs="FrankRuehl"/>
          <w:sz w:val="28"/>
          <w:szCs w:val="28"/>
          <w:rtl/>
        </w:rPr>
        <w:t>גילוי מקסימלי של פרפרזה מהחומר החסוי</w:t>
      </w:r>
      <w:r w:rsidR="000867B6" w:rsidRPr="001A0B66">
        <w:rPr>
          <w:rFonts w:ascii="FrankRuehl" w:hAnsi="FrankRuehl" w:cs="FrankRuehl"/>
          <w:sz w:val="28"/>
          <w:szCs w:val="28"/>
          <w:rtl/>
        </w:rPr>
        <w:t>;</w:t>
      </w:r>
      <w:r w:rsidR="0036234B" w:rsidRPr="001A0B66">
        <w:rPr>
          <w:rFonts w:ascii="FrankRuehl" w:hAnsi="FrankRuehl" w:cs="FrankRuehl"/>
          <w:sz w:val="28"/>
          <w:szCs w:val="28"/>
          <w:rtl/>
        </w:rPr>
        <w:t xml:space="preserve"> </w:t>
      </w:r>
      <w:r w:rsidR="00FC04B0" w:rsidRPr="001A0B66">
        <w:rPr>
          <w:rFonts w:ascii="FrankRuehl" w:hAnsi="FrankRuehl" w:cs="FrankRuehl"/>
          <w:sz w:val="28"/>
          <w:szCs w:val="28"/>
          <w:rtl/>
        </w:rPr>
        <w:t xml:space="preserve">חקירה נגדית של נציג </w:t>
      </w:r>
      <w:r w:rsidR="000867B6" w:rsidRPr="001A0B66">
        <w:rPr>
          <w:rFonts w:ascii="FrankRuehl" w:hAnsi="FrankRuehl" w:cs="FrankRuehl"/>
          <w:sz w:val="28"/>
          <w:szCs w:val="28"/>
          <w:rtl/>
        </w:rPr>
        <w:t>ה</w:t>
      </w:r>
      <w:r w:rsidR="00FC04B0" w:rsidRPr="001A0B66">
        <w:rPr>
          <w:rFonts w:ascii="FrankRuehl" w:hAnsi="FrankRuehl" w:cs="FrankRuehl"/>
          <w:sz w:val="28"/>
          <w:szCs w:val="28"/>
          <w:rtl/>
        </w:rPr>
        <w:t>שב"כ בידי הפרקליט המיוחד</w:t>
      </w:r>
      <w:r w:rsidR="000867B6" w:rsidRPr="001A0B66">
        <w:rPr>
          <w:rFonts w:ascii="FrankRuehl" w:hAnsi="FrankRuehl" w:cs="FrankRuehl"/>
          <w:sz w:val="28"/>
          <w:szCs w:val="28"/>
          <w:rtl/>
        </w:rPr>
        <w:t>;</w:t>
      </w:r>
      <w:r w:rsidR="00FC04B0" w:rsidRPr="001A0B66">
        <w:rPr>
          <w:rFonts w:ascii="FrankRuehl" w:hAnsi="FrankRuehl" w:cs="FrankRuehl"/>
          <w:sz w:val="28"/>
          <w:szCs w:val="28"/>
          <w:rtl/>
        </w:rPr>
        <w:t xml:space="preserve"> </w:t>
      </w:r>
      <w:r w:rsidR="000867B6" w:rsidRPr="001A0B66">
        <w:rPr>
          <w:rFonts w:ascii="FrankRuehl" w:hAnsi="FrankRuehl" w:cs="FrankRuehl"/>
          <w:sz w:val="28"/>
          <w:szCs w:val="28"/>
          <w:rtl/>
        </w:rPr>
        <w:t xml:space="preserve">הפקדת </w:t>
      </w:r>
      <w:r w:rsidRPr="001A0B66">
        <w:rPr>
          <w:rFonts w:ascii="FrankRuehl" w:hAnsi="FrankRuehl" w:cs="FrankRuehl"/>
          <w:sz w:val="28"/>
          <w:szCs w:val="28"/>
          <w:rtl/>
        </w:rPr>
        <w:t xml:space="preserve">מנגנון </w:t>
      </w:r>
      <w:r w:rsidR="000867B6" w:rsidRPr="001A0B66">
        <w:rPr>
          <w:rFonts w:ascii="FrankRuehl" w:hAnsi="FrankRuehl" w:cs="FrankRuehl"/>
          <w:sz w:val="28"/>
          <w:szCs w:val="28"/>
          <w:rtl/>
        </w:rPr>
        <w:t>ה</w:t>
      </w:r>
      <w:r w:rsidRPr="001A0B66">
        <w:rPr>
          <w:rFonts w:ascii="FrankRuehl" w:hAnsi="FrankRuehl" w:cs="FrankRuehl"/>
          <w:sz w:val="28"/>
          <w:szCs w:val="28"/>
          <w:rtl/>
        </w:rPr>
        <w:t>בחירה של עורכי דין מיוחדים בידי הסנגוריה הציבורית</w:t>
      </w:r>
      <w:r w:rsidR="000867B6" w:rsidRPr="001A0B66">
        <w:rPr>
          <w:rFonts w:ascii="FrankRuehl" w:hAnsi="FrankRuehl" w:cs="FrankRuehl"/>
          <w:sz w:val="28"/>
          <w:szCs w:val="28"/>
          <w:rtl/>
        </w:rPr>
        <w:t>,</w:t>
      </w:r>
      <w:r w:rsidRPr="001A0B66">
        <w:rPr>
          <w:rFonts w:ascii="FrankRuehl" w:hAnsi="FrankRuehl" w:cs="FrankRuehl"/>
          <w:sz w:val="28"/>
          <w:szCs w:val="28"/>
          <w:rtl/>
        </w:rPr>
        <w:t xml:space="preserve"> </w:t>
      </w:r>
      <w:r w:rsidR="000867B6" w:rsidRPr="001A0B66">
        <w:rPr>
          <w:rFonts w:ascii="FrankRuehl" w:hAnsi="FrankRuehl" w:cs="FrankRuehl"/>
          <w:sz w:val="28"/>
          <w:szCs w:val="28"/>
          <w:rtl/>
        </w:rPr>
        <w:t>בחירת</w:t>
      </w:r>
      <w:r w:rsidRPr="001A0B66">
        <w:rPr>
          <w:rFonts w:ascii="FrankRuehl" w:hAnsi="FrankRuehl" w:cs="FrankRuehl"/>
          <w:sz w:val="28"/>
          <w:szCs w:val="28"/>
          <w:rtl/>
        </w:rPr>
        <w:t xml:space="preserve"> </w:t>
      </w:r>
      <w:r w:rsidR="0036234B" w:rsidRPr="001A0B66">
        <w:rPr>
          <w:rFonts w:ascii="FrankRuehl" w:hAnsi="FrankRuehl" w:cs="FrankRuehl"/>
          <w:sz w:val="28"/>
          <w:szCs w:val="28"/>
          <w:rtl/>
        </w:rPr>
        <w:t>עורכות</w:t>
      </w:r>
      <w:r w:rsidR="00201EC8" w:rsidRPr="001A0B66">
        <w:rPr>
          <w:rFonts w:ascii="FrankRuehl" w:hAnsi="FrankRuehl" w:cs="FrankRuehl"/>
          <w:sz w:val="28"/>
          <w:szCs w:val="28"/>
          <w:rtl/>
        </w:rPr>
        <w:t xml:space="preserve"> דין</w:t>
      </w:r>
      <w:r w:rsidR="0036234B" w:rsidRPr="001A0B66">
        <w:rPr>
          <w:rFonts w:ascii="FrankRuehl" w:hAnsi="FrankRuehl" w:cs="FrankRuehl"/>
          <w:sz w:val="28"/>
          <w:szCs w:val="28"/>
          <w:rtl/>
        </w:rPr>
        <w:t xml:space="preserve"> ועורכי דין מתאימים שיעמדו בתנאי סיווג ביטחוני</w:t>
      </w:r>
      <w:r w:rsidR="00FC04B0" w:rsidRPr="001A0B66">
        <w:rPr>
          <w:rFonts w:ascii="FrankRuehl" w:hAnsi="FrankRuehl" w:cs="FrankRuehl"/>
          <w:sz w:val="28"/>
          <w:szCs w:val="28"/>
          <w:rtl/>
        </w:rPr>
        <w:t xml:space="preserve"> ומינוי עורכי דין מיוחדים פרטיים או ציבוריים</w:t>
      </w:r>
      <w:r w:rsidR="0036234B" w:rsidRPr="001A0B66">
        <w:rPr>
          <w:rFonts w:ascii="FrankRuehl" w:hAnsi="FrankRuehl" w:cs="FrankRuehl"/>
          <w:sz w:val="28"/>
          <w:szCs w:val="28"/>
          <w:rtl/>
        </w:rPr>
        <w:t xml:space="preserve">; </w:t>
      </w:r>
      <w:r w:rsidR="00FC04B0" w:rsidRPr="001A0B66">
        <w:rPr>
          <w:rFonts w:ascii="FrankRuehl" w:hAnsi="FrankRuehl" w:cs="FrankRuehl"/>
          <w:sz w:val="28"/>
          <w:szCs w:val="28"/>
          <w:rtl/>
        </w:rPr>
        <w:t xml:space="preserve">הרחבה של הסדר הפרקליט המיוחד גם למעצרים מנהליים על פי החקיקה הצבאית בשטחים, שם </w:t>
      </w:r>
      <w:r w:rsidR="00201EC8" w:rsidRPr="001A0B66">
        <w:rPr>
          <w:rFonts w:ascii="FrankRuehl" w:hAnsi="FrankRuehl" w:cs="FrankRuehl"/>
          <w:sz w:val="28"/>
          <w:szCs w:val="28"/>
          <w:rtl/>
        </w:rPr>
        <w:t xml:space="preserve">תהיה </w:t>
      </w:r>
      <w:r w:rsidR="00FC04B0" w:rsidRPr="001A0B66">
        <w:rPr>
          <w:rFonts w:ascii="FrankRuehl" w:hAnsi="FrankRuehl" w:cs="FrankRuehl"/>
          <w:sz w:val="28"/>
          <w:szCs w:val="28"/>
          <w:rtl/>
        </w:rPr>
        <w:t>הסנגוריה הצבאית אחראית לבחירת</w:t>
      </w:r>
      <w:r w:rsidR="00201EC8" w:rsidRPr="001A0B66">
        <w:rPr>
          <w:rFonts w:ascii="FrankRuehl" w:hAnsi="FrankRuehl" w:cs="FrankRuehl"/>
          <w:sz w:val="28"/>
          <w:szCs w:val="28"/>
          <w:rtl/>
        </w:rPr>
        <w:t>ם</w:t>
      </w:r>
      <w:r w:rsidR="00FC04B0" w:rsidRPr="001A0B66">
        <w:rPr>
          <w:rFonts w:ascii="FrankRuehl" w:hAnsi="FrankRuehl" w:cs="FrankRuehl"/>
          <w:sz w:val="28"/>
          <w:szCs w:val="28"/>
          <w:rtl/>
        </w:rPr>
        <w:t xml:space="preserve"> ו</w:t>
      </w:r>
      <w:r w:rsidR="00201EC8" w:rsidRPr="001A0B66">
        <w:rPr>
          <w:rFonts w:ascii="FrankRuehl" w:hAnsi="FrankRuehl" w:cs="FrankRuehl"/>
          <w:sz w:val="28"/>
          <w:szCs w:val="28"/>
          <w:rtl/>
        </w:rPr>
        <w:t>ל</w:t>
      </w:r>
      <w:r w:rsidR="00FC04B0" w:rsidRPr="001A0B66">
        <w:rPr>
          <w:rFonts w:ascii="FrankRuehl" w:hAnsi="FrankRuehl" w:cs="FrankRuehl"/>
          <w:sz w:val="28"/>
          <w:szCs w:val="28"/>
          <w:rtl/>
        </w:rPr>
        <w:t>מינוי</w:t>
      </w:r>
      <w:r w:rsidR="00201EC8" w:rsidRPr="001A0B66">
        <w:rPr>
          <w:rFonts w:ascii="FrankRuehl" w:hAnsi="FrankRuehl" w:cs="FrankRuehl"/>
          <w:sz w:val="28"/>
          <w:szCs w:val="28"/>
          <w:rtl/>
        </w:rPr>
        <w:t>ָם של</w:t>
      </w:r>
      <w:r w:rsidR="00FC04B0" w:rsidRPr="001A0B66">
        <w:rPr>
          <w:rFonts w:ascii="FrankRuehl" w:hAnsi="FrankRuehl" w:cs="FrankRuehl"/>
          <w:sz w:val="28"/>
          <w:szCs w:val="28"/>
          <w:rtl/>
        </w:rPr>
        <w:t xml:space="preserve"> עורכי דין מיוחדים ציבוריים</w:t>
      </w:r>
      <w:r w:rsidR="00E04D91" w:rsidRPr="001A0B66">
        <w:rPr>
          <w:rFonts w:ascii="FrankRuehl" w:hAnsi="FrankRuehl" w:cs="FrankRuehl"/>
          <w:sz w:val="28"/>
          <w:szCs w:val="28"/>
          <w:rtl/>
        </w:rPr>
        <w:t>; וכן בניית מע</w:t>
      </w:r>
      <w:r w:rsidR="00502808" w:rsidRPr="001A0B66">
        <w:rPr>
          <w:rFonts w:ascii="FrankRuehl" w:hAnsi="FrankRuehl" w:cs="FrankRuehl"/>
          <w:sz w:val="28"/>
          <w:szCs w:val="28"/>
          <w:rtl/>
        </w:rPr>
        <w:t xml:space="preserve">נה הולם בתחום התרגום </w:t>
      </w:r>
      <w:r w:rsidR="002A125E" w:rsidRPr="001A0B66">
        <w:rPr>
          <w:rFonts w:ascii="FrankRuehl" w:hAnsi="FrankRuehl" w:cs="FrankRuehl"/>
          <w:sz w:val="28"/>
          <w:szCs w:val="28"/>
          <w:rtl/>
        </w:rPr>
        <w:t xml:space="preserve">הדו-כיווני </w:t>
      </w:r>
      <w:r w:rsidR="00502808" w:rsidRPr="001A0B66">
        <w:rPr>
          <w:rFonts w:ascii="FrankRuehl" w:hAnsi="FrankRuehl" w:cs="FrankRuehl"/>
          <w:sz w:val="28"/>
          <w:szCs w:val="28"/>
          <w:rtl/>
        </w:rPr>
        <w:t xml:space="preserve">בין ערבית ועברית. </w:t>
      </w:r>
    </w:p>
    <w:p w14:paraId="7C9B8F90" w14:textId="77777777" w:rsidR="00C3488E" w:rsidRPr="001A0B66" w:rsidRDefault="000F51C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הצעותינו מתבססות </w:t>
      </w:r>
      <w:r w:rsidR="006226DF" w:rsidRPr="001A0B66">
        <w:rPr>
          <w:rFonts w:ascii="FrankRuehl" w:hAnsi="FrankRuehl" w:cs="FrankRuehl"/>
          <w:sz w:val="28"/>
          <w:szCs w:val="28"/>
          <w:rtl/>
        </w:rPr>
        <w:t xml:space="preserve">גם על </w:t>
      </w:r>
      <w:r w:rsidR="007B4C52" w:rsidRPr="001A0B66">
        <w:rPr>
          <w:rFonts w:ascii="FrankRuehl" w:hAnsi="FrankRuehl" w:cs="FrankRuehl"/>
          <w:sz w:val="28"/>
          <w:szCs w:val="28"/>
          <w:rtl/>
        </w:rPr>
        <w:t>המשפט ההשוואתי</w:t>
      </w:r>
      <w:r w:rsidRPr="001A0B66">
        <w:rPr>
          <w:rFonts w:ascii="FrankRuehl" w:hAnsi="FrankRuehl" w:cs="FrankRuehl"/>
          <w:sz w:val="28"/>
          <w:szCs w:val="28"/>
          <w:rtl/>
        </w:rPr>
        <w:t>. מנגנון עורכי הדין המיוחדים פ</w:t>
      </w:r>
      <w:r w:rsidR="000867B6" w:rsidRPr="001A0B66">
        <w:rPr>
          <w:rFonts w:ascii="FrankRuehl" w:hAnsi="FrankRuehl" w:cs="FrankRuehl"/>
          <w:sz w:val="28"/>
          <w:szCs w:val="28"/>
          <w:rtl/>
        </w:rPr>
        <w:t>ּ</w:t>
      </w:r>
      <w:r w:rsidRPr="001A0B66">
        <w:rPr>
          <w:rFonts w:ascii="FrankRuehl" w:hAnsi="FrankRuehl" w:cs="FrankRuehl"/>
          <w:sz w:val="28"/>
          <w:szCs w:val="28"/>
          <w:rtl/>
        </w:rPr>
        <w:t>ו</w:t>
      </w:r>
      <w:r w:rsidR="000867B6" w:rsidRPr="001A0B66">
        <w:rPr>
          <w:rFonts w:ascii="FrankRuehl" w:hAnsi="FrankRuehl" w:cs="FrankRuehl"/>
          <w:sz w:val="28"/>
          <w:szCs w:val="28"/>
          <w:rtl/>
        </w:rPr>
        <w:t>ּ</w:t>
      </w:r>
      <w:r w:rsidRPr="001A0B66">
        <w:rPr>
          <w:rFonts w:ascii="FrankRuehl" w:hAnsi="FrankRuehl" w:cs="FrankRuehl"/>
          <w:sz w:val="28"/>
          <w:szCs w:val="28"/>
          <w:rtl/>
        </w:rPr>
        <w:t>תח במדינות אחרות והן צברו ניסיון בהפעלתו.</w:t>
      </w:r>
      <w:r w:rsidR="002B5EAF" w:rsidRPr="001A0B66">
        <w:rPr>
          <w:rStyle w:val="FootnoteReference"/>
          <w:rFonts w:ascii="FrankRuehl" w:hAnsi="FrankRuehl" w:cs="FrankRuehl"/>
          <w:sz w:val="28"/>
          <w:szCs w:val="28"/>
          <w:rtl/>
        </w:rPr>
        <w:footnoteReference w:id="62"/>
      </w:r>
      <w:r w:rsidRPr="001A0B66">
        <w:rPr>
          <w:rFonts w:ascii="FrankRuehl" w:hAnsi="FrankRuehl" w:cs="FrankRuehl"/>
          <w:sz w:val="28"/>
          <w:szCs w:val="28"/>
          <w:rtl/>
        </w:rPr>
        <w:t xml:space="preserve"> </w:t>
      </w:r>
      <w:r w:rsidR="000867B6" w:rsidRPr="001A0B66">
        <w:rPr>
          <w:rFonts w:ascii="FrankRuehl" w:hAnsi="FrankRuehl" w:cs="FrankRuehl"/>
          <w:sz w:val="28"/>
          <w:szCs w:val="28"/>
          <w:rtl/>
        </w:rPr>
        <w:t xml:space="preserve">לפיכך, </w:t>
      </w:r>
      <w:r w:rsidRPr="001A0B66">
        <w:rPr>
          <w:rFonts w:ascii="FrankRuehl" w:hAnsi="FrankRuehl" w:cs="FrankRuehl"/>
          <w:sz w:val="28"/>
          <w:szCs w:val="28"/>
          <w:rtl/>
        </w:rPr>
        <w:t>מן הראוי ללמוד גם מנ</w:t>
      </w:r>
      <w:r w:rsidR="000867B6" w:rsidRPr="001A0B66">
        <w:rPr>
          <w:rFonts w:ascii="FrankRuehl" w:hAnsi="FrankRuehl" w:cs="FrankRuehl"/>
          <w:sz w:val="28"/>
          <w:szCs w:val="28"/>
          <w:rtl/>
        </w:rPr>
        <w:t>י</w:t>
      </w:r>
      <w:r w:rsidRPr="001A0B66">
        <w:rPr>
          <w:rFonts w:ascii="FrankRuehl" w:hAnsi="FrankRuehl" w:cs="FrankRuehl"/>
          <w:sz w:val="28"/>
          <w:szCs w:val="28"/>
          <w:rtl/>
        </w:rPr>
        <w:t>סיון זה,</w:t>
      </w:r>
      <w:r w:rsidR="007B4C52" w:rsidRPr="001A0B66">
        <w:rPr>
          <w:rFonts w:ascii="FrankRuehl" w:hAnsi="FrankRuehl" w:cs="FrankRuehl"/>
          <w:sz w:val="28"/>
          <w:szCs w:val="28"/>
          <w:rtl/>
        </w:rPr>
        <w:t xml:space="preserve"> בזהירות המתחייבת </w:t>
      </w:r>
      <w:r w:rsidR="00FC649A" w:rsidRPr="001A0B66">
        <w:rPr>
          <w:rFonts w:ascii="FrankRuehl" w:hAnsi="FrankRuehl" w:cs="FrankRuehl"/>
          <w:sz w:val="28"/>
          <w:szCs w:val="28"/>
          <w:rtl/>
        </w:rPr>
        <w:t>מ</w:t>
      </w:r>
      <w:r w:rsidR="007B4C52" w:rsidRPr="001A0B66">
        <w:rPr>
          <w:rFonts w:ascii="FrankRuehl" w:hAnsi="FrankRuehl" w:cs="FrankRuehl"/>
          <w:sz w:val="28"/>
          <w:szCs w:val="28"/>
          <w:rtl/>
        </w:rPr>
        <w:t>כל בחינה השוואתית. קנדה ו</w:t>
      </w:r>
      <w:r w:rsidR="00665149" w:rsidRPr="001A0B66">
        <w:rPr>
          <w:rFonts w:ascii="FrankRuehl" w:hAnsi="FrankRuehl" w:cs="FrankRuehl"/>
          <w:sz w:val="28"/>
          <w:szCs w:val="28"/>
          <w:rtl/>
        </w:rPr>
        <w:t xml:space="preserve">אחריה </w:t>
      </w:r>
      <w:r w:rsidR="007B4C52" w:rsidRPr="001A0B66">
        <w:rPr>
          <w:rFonts w:ascii="FrankRuehl" w:hAnsi="FrankRuehl" w:cs="FrankRuehl"/>
          <w:sz w:val="28"/>
          <w:szCs w:val="28"/>
          <w:rtl/>
        </w:rPr>
        <w:t>בריטניה גיבשו את מודל הפרקליט המיוחד בהקשרם של הליכים הנוגעים להגירה ו</w:t>
      </w:r>
      <w:r w:rsidR="00331161" w:rsidRPr="001A0B66">
        <w:rPr>
          <w:rFonts w:ascii="FrankRuehl" w:hAnsi="FrankRuehl" w:cs="FrankRuehl"/>
          <w:sz w:val="28"/>
          <w:szCs w:val="28"/>
          <w:rtl/>
        </w:rPr>
        <w:t>ל</w:t>
      </w:r>
      <w:r w:rsidR="007B4C52" w:rsidRPr="001A0B66">
        <w:rPr>
          <w:rFonts w:ascii="FrankRuehl" w:hAnsi="FrankRuehl" w:cs="FrankRuehl"/>
          <w:sz w:val="28"/>
          <w:szCs w:val="28"/>
          <w:rtl/>
        </w:rPr>
        <w:t xml:space="preserve">בקשות מקלט. </w:t>
      </w:r>
      <w:proofErr w:type="spellStart"/>
      <w:r w:rsidR="007B4C52" w:rsidRPr="001A0B66">
        <w:rPr>
          <w:rFonts w:ascii="FrankRuehl" w:hAnsi="FrankRuehl" w:cs="FrankRuehl"/>
          <w:sz w:val="28"/>
          <w:szCs w:val="28"/>
          <w:rtl/>
        </w:rPr>
        <w:t>טריבונלים</w:t>
      </w:r>
      <w:proofErr w:type="spellEnd"/>
      <w:r w:rsidR="007B4C52" w:rsidRPr="001A0B66">
        <w:rPr>
          <w:rFonts w:ascii="FrankRuehl" w:hAnsi="FrankRuehl" w:cs="FrankRuehl"/>
          <w:sz w:val="28"/>
          <w:szCs w:val="28"/>
          <w:rtl/>
        </w:rPr>
        <w:t xml:space="preserve"> מיוחדים להגירה</w:t>
      </w:r>
      <w:r w:rsidR="00492DFD" w:rsidRPr="001A0B66">
        <w:rPr>
          <w:rFonts w:ascii="FrankRuehl" w:hAnsi="FrankRuehl" w:cs="FrankRuehl"/>
          <w:sz w:val="28"/>
          <w:szCs w:val="28"/>
          <w:rtl/>
        </w:rPr>
        <w:t xml:space="preserve"> בשתי המדינות</w:t>
      </w:r>
      <w:r w:rsidR="007B4C52" w:rsidRPr="001A0B66">
        <w:rPr>
          <w:rFonts w:ascii="FrankRuehl" w:hAnsi="FrankRuehl" w:cs="FrankRuehl"/>
          <w:sz w:val="28"/>
          <w:szCs w:val="28"/>
          <w:rtl/>
        </w:rPr>
        <w:t xml:space="preserve"> התבקשו לקבוע אם</w:t>
      </w:r>
      <w:r w:rsidR="00331161" w:rsidRPr="001A0B66">
        <w:rPr>
          <w:rFonts w:ascii="FrankRuehl" w:hAnsi="FrankRuehl" w:cs="FrankRuehl"/>
          <w:sz w:val="28"/>
          <w:szCs w:val="28"/>
          <w:rtl/>
        </w:rPr>
        <w:t xml:space="preserve"> סיבות ביטחוניות מצדיקות את</w:t>
      </w:r>
      <w:r w:rsidR="007B4C52" w:rsidRPr="001A0B66">
        <w:rPr>
          <w:rFonts w:ascii="FrankRuehl" w:hAnsi="FrankRuehl" w:cs="FrankRuehl"/>
          <w:sz w:val="28"/>
          <w:szCs w:val="28"/>
          <w:rtl/>
        </w:rPr>
        <w:t xml:space="preserve"> </w:t>
      </w:r>
      <w:r w:rsidR="00665149" w:rsidRPr="001A0B66">
        <w:rPr>
          <w:rFonts w:ascii="FrankRuehl" w:hAnsi="FrankRuehl" w:cs="FrankRuehl"/>
          <w:sz w:val="28"/>
          <w:szCs w:val="28"/>
          <w:rtl/>
        </w:rPr>
        <w:t xml:space="preserve">החזקתם במעצר </w:t>
      </w:r>
      <w:r w:rsidR="007B4C52" w:rsidRPr="001A0B66">
        <w:rPr>
          <w:rFonts w:ascii="FrankRuehl" w:hAnsi="FrankRuehl" w:cs="FrankRuehl"/>
          <w:sz w:val="28"/>
          <w:szCs w:val="28"/>
          <w:rtl/>
        </w:rPr>
        <w:t>של אזרחים זרים</w:t>
      </w:r>
      <w:r w:rsidR="00331161" w:rsidRPr="001A0B66">
        <w:rPr>
          <w:rFonts w:ascii="FrankRuehl" w:hAnsi="FrankRuehl" w:cs="FrankRuehl"/>
          <w:sz w:val="28"/>
          <w:szCs w:val="28"/>
          <w:rtl/>
        </w:rPr>
        <w:t xml:space="preserve"> או את גירושם</w:t>
      </w:r>
      <w:r w:rsidR="007B4C52" w:rsidRPr="001A0B66">
        <w:rPr>
          <w:rFonts w:ascii="FrankRuehl" w:hAnsi="FrankRuehl" w:cs="FrankRuehl"/>
          <w:sz w:val="28"/>
          <w:szCs w:val="28"/>
          <w:rtl/>
        </w:rPr>
        <w:t xml:space="preserve">, ואם </w:t>
      </w:r>
      <w:r w:rsidR="00905742" w:rsidRPr="001A0B66">
        <w:rPr>
          <w:rFonts w:ascii="FrankRuehl" w:hAnsi="FrankRuehl" w:cs="FrankRuehl"/>
          <w:sz w:val="28"/>
          <w:szCs w:val="28"/>
          <w:rtl/>
        </w:rPr>
        <w:t xml:space="preserve">כוונת </w:t>
      </w:r>
      <w:r w:rsidR="007B4C52" w:rsidRPr="001A0B66">
        <w:rPr>
          <w:rFonts w:ascii="FrankRuehl" w:hAnsi="FrankRuehl" w:cs="FrankRuehl"/>
          <w:sz w:val="28"/>
          <w:szCs w:val="28"/>
          <w:rtl/>
        </w:rPr>
        <w:t>הגירוש עומד</w:t>
      </w:r>
      <w:r w:rsidR="00905742" w:rsidRPr="001A0B66">
        <w:rPr>
          <w:rFonts w:ascii="FrankRuehl" w:hAnsi="FrankRuehl" w:cs="FrankRuehl"/>
          <w:sz w:val="28"/>
          <w:szCs w:val="28"/>
          <w:rtl/>
        </w:rPr>
        <w:t>ת</w:t>
      </w:r>
      <w:r w:rsidR="007B4C52" w:rsidRPr="001A0B66">
        <w:rPr>
          <w:rFonts w:ascii="FrankRuehl" w:hAnsi="FrankRuehl" w:cs="FrankRuehl"/>
          <w:sz w:val="28"/>
          <w:szCs w:val="28"/>
          <w:rtl/>
        </w:rPr>
        <w:t xml:space="preserve"> בתנאים הקשורים להגנה על זכויות</w:t>
      </w:r>
      <w:r w:rsidR="00905742" w:rsidRPr="001A0B66">
        <w:rPr>
          <w:rFonts w:ascii="FrankRuehl" w:hAnsi="FrankRuehl" w:cs="FrankRuehl"/>
          <w:sz w:val="28"/>
          <w:szCs w:val="28"/>
          <w:rtl/>
        </w:rPr>
        <w:t>יהם</w:t>
      </w:r>
      <w:r w:rsidR="007B4C52" w:rsidRPr="001A0B66">
        <w:rPr>
          <w:rFonts w:ascii="FrankRuehl" w:hAnsi="FrankRuehl" w:cs="FrankRuehl"/>
          <w:sz w:val="28"/>
          <w:szCs w:val="28"/>
          <w:rtl/>
        </w:rPr>
        <w:t xml:space="preserve"> למשפט הוגן והגנה </w:t>
      </w:r>
      <w:r w:rsidR="00492DFD" w:rsidRPr="001A0B66">
        <w:rPr>
          <w:rFonts w:ascii="FrankRuehl" w:hAnsi="FrankRuehl" w:cs="FrankRuehl"/>
          <w:sz w:val="28"/>
          <w:szCs w:val="28"/>
          <w:rtl/>
        </w:rPr>
        <w:t xml:space="preserve">עליהם </w:t>
      </w:r>
      <w:r w:rsidR="007B4C52" w:rsidRPr="001A0B66">
        <w:rPr>
          <w:rFonts w:ascii="FrankRuehl" w:hAnsi="FrankRuehl" w:cs="FrankRuehl"/>
          <w:sz w:val="28"/>
          <w:szCs w:val="28"/>
          <w:rtl/>
        </w:rPr>
        <w:t>מ</w:t>
      </w:r>
      <w:r w:rsidR="00331161" w:rsidRPr="001A0B66">
        <w:rPr>
          <w:rFonts w:ascii="FrankRuehl" w:hAnsi="FrankRuehl" w:cs="FrankRuehl"/>
          <w:sz w:val="28"/>
          <w:szCs w:val="28"/>
          <w:rtl/>
        </w:rPr>
        <w:t xml:space="preserve">פני </w:t>
      </w:r>
      <w:r w:rsidR="007B4C52" w:rsidRPr="001A0B66">
        <w:rPr>
          <w:rFonts w:ascii="FrankRuehl" w:hAnsi="FrankRuehl" w:cs="FrankRuehl"/>
          <w:sz w:val="28"/>
          <w:szCs w:val="28"/>
          <w:rtl/>
        </w:rPr>
        <w:t>עינויים במדינות המוצא שלהם.</w:t>
      </w:r>
      <w:bookmarkStart w:id="50" w:name="_Ref53031205"/>
      <w:r w:rsidR="007B4C52" w:rsidRPr="001A0B66">
        <w:rPr>
          <w:rStyle w:val="FootnoteReference"/>
          <w:rFonts w:ascii="FrankRuehl" w:hAnsi="FrankRuehl" w:cs="FrankRuehl"/>
          <w:sz w:val="28"/>
          <w:szCs w:val="28"/>
          <w:rtl/>
        </w:rPr>
        <w:footnoteReference w:id="63"/>
      </w:r>
      <w:bookmarkEnd w:id="50"/>
      <w:r w:rsidR="007B4C52" w:rsidRPr="001A0B66">
        <w:rPr>
          <w:rFonts w:ascii="FrankRuehl" w:hAnsi="FrankRuehl" w:cs="FrankRuehl"/>
          <w:sz w:val="28"/>
          <w:szCs w:val="28"/>
          <w:rtl/>
        </w:rPr>
        <w:t xml:space="preserve"> </w:t>
      </w:r>
      <w:r w:rsidR="00FC04B0" w:rsidRPr="001A0B66">
        <w:rPr>
          <w:rFonts w:ascii="FrankRuehl" w:hAnsi="FrankRuehl" w:cs="FrankRuehl"/>
          <w:sz w:val="28"/>
          <w:szCs w:val="28"/>
          <w:rtl/>
        </w:rPr>
        <w:t>ה</w:t>
      </w:r>
      <w:r w:rsidR="007B4C52" w:rsidRPr="001A0B66">
        <w:rPr>
          <w:rFonts w:ascii="FrankRuehl" w:hAnsi="FrankRuehl" w:cs="FrankRuehl"/>
          <w:sz w:val="28"/>
          <w:szCs w:val="28"/>
          <w:rtl/>
        </w:rPr>
        <w:t xml:space="preserve">שימוש בפרוצדורה זו </w:t>
      </w:r>
      <w:r w:rsidR="00FC04B0" w:rsidRPr="001A0B66">
        <w:rPr>
          <w:rFonts w:ascii="FrankRuehl" w:hAnsi="FrankRuehl" w:cs="FrankRuehl"/>
          <w:sz w:val="28"/>
          <w:szCs w:val="28"/>
          <w:rtl/>
        </w:rPr>
        <w:t xml:space="preserve">גבר </w:t>
      </w:r>
      <w:r w:rsidR="007B4C52" w:rsidRPr="001A0B66">
        <w:rPr>
          <w:rFonts w:ascii="FrankRuehl" w:hAnsi="FrankRuehl" w:cs="FrankRuehl"/>
          <w:sz w:val="28"/>
          <w:szCs w:val="28"/>
          <w:rtl/>
        </w:rPr>
        <w:t>בעקבות אירועי 11 בספטמבר 2001</w:t>
      </w:r>
      <w:r w:rsidR="00492DFD" w:rsidRPr="001A0B66">
        <w:rPr>
          <w:rFonts w:ascii="FrankRuehl" w:hAnsi="FrankRuehl" w:cs="FrankRuehl"/>
          <w:sz w:val="28"/>
          <w:szCs w:val="28"/>
          <w:rtl/>
        </w:rPr>
        <w:t>,</w:t>
      </w:r>
      <w:r w:rsidR="007B4C52" w:rsidRPr="001A0B66">
        <w:rPr>
          <w:rFonts w:ascii="FrankRuehl" w:hAnsi="FrankRuehl" w:cs="FrankRuehl"/>
          <w:sz w:val="28"/>
          <w:szCs w:val="28"/>
          <w:rtl/>
        </w:rPr>
        <w:t xml:space="preserve"> במסגרת תהליך גירושם של מי שאינם אזרחי אותן מדינות </w:t>
      </w:r>
      <w:r w:rsidR="00492DFD" w:rsidRPr="001A0B66">
        <w:rPr>
          <w:rFonts w:ascii="FrankRuehl" w:hAnsi="FrankRuehl" w:cs="FrankRuehl"/>
          <w:sz w:val="28"/>
          <w:szCs w:val="28"/>
          <w:rtl/>
        </w:rPr>
        <w:t>ו</w:t>
      </w:r>
      <w:r w:rsidR="002B5EAF" w:rsidRPr="001A0B66">
        <w:rPr>
          <w:rFonts w:ascii="FrankRuehl" w:hAnsi="FrankRuehl" w:cs="FrankRuehl"/>
          <w:sz w:val="28"/>
          <w:szCs w:val="28"/>
          <w:rtl/>
        </w:rPr>
        <w:t>ש</w:t>
      </w:r>
      <w:r w:rsidR="00492DFD" w:rsidRPr="001A0B66">
        <w:rPr>
          <w:rFonts w:ascii="FrankRuehl" w:hAnsi="FrankRuehl" w:cs="FrankRuehl"/>
          <w:sz w:val="28"/>
          <w:szCs w:val="28"/>
          <w:rtl/>
        </w:rPr>
        <w:t>נחשדו</w:t>
      </w:r>
      <w:r w:rsidR="007B4C52" w:rsidRPr="001A0B66">
        <w:rPr>
          <w:rFonts w:ascii="FrankRuehl" w:hAnsi="FrankRuehl" w:cs="FrankRuehl"/>
          <w:sz w:val="28"/>
          <w:szCs w:val="28"/>
          <w:rtl/>
        </w:rPr>
        <w:t xml:space="preserve"> </w:t>
      </w:r>
      <w:r w:rsidR="007B4C52" w:rsidRPr="001A0B66">
        <w:rPr>
          <w:rFonts w:ascii="FrankRuehl" w:hAnsi="FrankRuehl" w:cs="FrankRuehl"/>
          <w:sz w:val="28"/>
          <w:szCs w:val="28"/>
          <w:rtl/>
        </w:rPr>
        <w:lastRenderedPageBreak/>
        <w:t>בפעילות המסכנת את ביטחון הציבור.</w:t>
      </w:r>
      <w:r w:rsidR="004A46F5" w:rsidRPr="001A0B66">
        <w:rPr>
          <w:rStyle w:val="FootnoteReference"/>
          <w:rFonts w:ascii="FrankRuehl" w:hAnsi="FrankRuehl" w:cs="FrankRuehl"/>
          <w:sz w:val="28"/>
          <w:szCs w:val="28"/>
          <w:rtl/>
        </w:rPr>
        <w:footnoteReference w:id="64"/>
      </w:r>
      <w:r w:rsidR="004A46F5" w:rsidRPr="001A0B66">
        <w:rPr>
          <w:rFonts w:ascii="FrankRuehl" w:hAnsi="FrankRuehl" w:cs="FrankRuehl"/>
          <w:sz w:val="28"/>
          <w:szCs w:val="28"/>
          <w:rtl/>
        </w:rPr>
        <w:t xml:space="preserve"> </w:t>
      </w:r>
      <w:r w:rsidR="007B4C52" w:rsidRPr="001A0B66">
        <w:rPr>
          <w:rFonts w:ascii="FrankRuehl" w:hAnsi="FrankRuehl" w:cs="FrankRuehl"/>
          <w:sz w:val="28"/>
          <w:szCs w:val="28"/>
          <w:rtl/>
        </w:rPr>
        <w:t>בתקופה זו הורחב השימוש במנגנון הפרקליט המיוחד ב</w:t>
      </w:r>
      <w:r w:rsidR="00905742" w:rsidRPr="001A0B66">
        <w:rPr>
          <w:rFonts w:ascii="FrankRuehl" w:hAnsi="FrankRuehl" w:cs="FrankRuehl"/>
          <w:sz w:val="28"/>
          <w:szCs w:val="28"/>
          <w:rtl/>
        </w:rPr>
        <w:t>בריטניה</w:t>
      </w:r>
      <w:r w:rsidR="007B4C52" w:rsidRPr="001A0B66">
        <w:rPr>
          <w:rFonts w:ascii="FrankRuehl" w:hAnsi="FrankRuehl" w:cs="FrankRuehl"/>
          <w:sz w:val="28"/>
          <w:szCs w:val="28"/>
          <w:rtl/>
        </w:rPr>
        <w:t xml:space="preserve"> גם למעצרים מנהליים ו</w:t>
      </w:r>
      <w:r w:rsidR="00492DFD" w:rsidRPr="001A0B66">
        <w:rPr>
          <w:rFonts w:ascii="FrankRuehl" w:hAnsi="FrankRuehl" w:cs="FrankRuehl"/>
          <w:sz w:val="28"/>
          <w:szCs w:val="28"/>
          <w:rtl/>
        </w:rPr>
        <w:t>ל</w:t>
      </w:r>
      <w:r w:rsidR="007B4C52" w:rsidRPr="001A0B66">
        <w:rPr>
          <w:rFonts w:ascii="FrankRuehl" w:hAnsi="FrankRuehl" w:cs="FrankRuehl"/>
          <w:sz w:val="28"/>
          <w:szCs w:val="28"/>
          <w:rtl/>
        </w:rPr>
        <w:t>צווי הגבלה מכוח חקיקה למאבק בטרור.</w:t>
      </w:r>
      <w:r w:rsidR="00144EA2" w:rsidRPr="001A0B66">
        <w:rPr>
          <w:rFonts w:ascii="FrankRuehl" w:hAnsi="FrankRuehl" w:cs="FrankRuehl"/>
          <w:sz w:val="28"/>
          <w:szCs w:val="28"/>
          <w:vertAlign w:val="superscript"/>
          <w:rtl/>
        </w:rPr>
        <w:footnoteReference w:id="65"/>
      </w:r>
      <w:r w:rsidR="009A0C06" w:rsidRPr="001A0B66">
        <w:rPr>
          <w:rFonts w:ascii="FrankRuehl" w:hAnsi="FrankRuehl" w:cs="FrankRuehl"/>
          <w:sz w:val="28"/>
          <w:szCs w:val="28"/>
          <w:rtl/>
        </w:rPr>
        <w:t xml:space="preserve"> </w:t>
      </w:r>
    </w:p>
    <w:p w14:paraId="76DF7202" w14:textId="77777777" w:rsidR="00A96E55" w:rsidRPr="001A0B66" w:rsidRDefault="00856ED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בהשוואה למדינות אלו</w:t>
      </w:r>
      <w:r w:rsidR="00492DFD" w:rsidRPr="001A0B66">
        <w:rPr>
          <w:rFonts w:ascii="FrankRuehl" w:hAnsi="FrankRuehl" w:cs="FrankRuehl"/>
          <w:sz w:val="28"/>
          <w:szCs w:val="28"/>
          <w:rtl/>
        </w:rPr>
        <w:t>,</w:t>
      </w:r>
      <w:r w:rsidRPr="001A0B66">
        <w:rPr>
          <w:rFonts w:ascii="FrankRuehl" w:hAnsi="FrankRuehl" w:cs="FrankRuehl"/>
          <w:sz w:val="28"/>
          <w:szCs w:val="28"/>
          <w:rtl/>
        </w:rPr>
        <w:t xml:space="preserve"> המפעילות סמכויות חירום בעיקר כלפי זרים, ישראל </w:t>
      </w:r>
      <w:r w:rsidR="00B75C1C" w:rsidRPr="001A0B66">
        <w:rPr>
          <w:rFonts w:ascii="FrankRuehl" w:hAnsi="FrankRuehl" w:cs="FrankRuehl"/>
          <w:sz w:val="28"/>
          <w:szCs w:val="28"/>
          <w:rtl/>
        </w:rPr>
        <w:t>עושה</w:t>
      </w:r>
      <w:r w:rsidR="0047574F" w:rsidRPr="001A0B66">
        <w:rPr>
          <w:rFonts w:ascii="FrankRuehl" w:hAnsi="FrankRuehl" w:cs="FrankRuehl"/>
          <w:sz w:val="28"/>
          <w:szCs w:val="28"/>
          <w:rtl/>
        </w:rPr>
        <w:t xml:space="preserve"> שימוש</w:t>
      </w:r>
      <w:r w:rsidR="00B75C1C" w:rsidRPr="001A0B66">
        <w:rPr>
          <w:rFonts w:ascii="FrankRuehl" w:hAnsi="FrankRuehl" w:cs="FrankRuehl"/>
          <w:sz w:val="28"/>
          <w:szCs w:val="28"/>
          <w:rtl/>
        </w:rPr>
        <w:t xml:space="preserve"> רווח</w:t>
      </w:r>
      <w:r w:rsidR="0047574F" w:rsidRPr="001A0B66">
        <w:rPr>
          <w:rFonts w:ascii="FrankRuehl" w:hAnsi="FrankRuehl" w:cs="FrankRuehl"/>
          <w:sz w:val="28"/>
          <w:szCs w:val="28"/>
          <w:rtl/>
        </w:rPr>
        <w:t xml:space="preserve"> בכלי</w:t>
      </w:r>
      <w:r w:rsidR="00B75C1C" w:rsidRPr="001A0B66">
        <w:rPr>
          <w:rFonts w:ascii="FrankRuehl" w:hAnsi="FrankRuehl" w:cs="FrankRuehl"/>
          <w:sz w:val="28"/>
          <w:szCs w:val="28"/>
          <w:rtl/>
        </w:rPr>
        <w:t>ם</w:t>
      </w:r>
      <w:r w:rsidR="0047574F" w:rsidRPr="001A0B66">
        <w:rPr>
          <w:rFonts w:ascii="FrankRuehl" w:hAnsi="FrankRuehl" w:cs="FrankRuehl"/>
          <w:sz w:val="28"/>
          <w:szCs w:val="28"/>
          <w:rtl/>
        </w:rPr>
        <w:t xml:space="preserve"> של </w:t>
      </w:r>
      <w:r w:rsidRPr="001A0B66">
        <w:rPr>
          <w:rFonts w:ascii="FrankRuehl" w:hAnsi="FrankRuehl" w:cs="FrankRuehl"/>
          <w:sz w:val="28"/>
          <w:szCs w:val="28"/>
          <w:rtl/>
        </w:rPr>
        <w:t xml:space="preserve">מעצר מנהלי </w:t>
      </w:r>
      <w:r w:rsidR="00B75C1C" w:rsidRPr="001A0B66">
        <w:rPr>
          <w:rFonts w:ascii="FrankRuehl" w:hAnsi="FrankRuehl" w:cs="FrankRuehl"/>
          <w:sz w:val="28"/>
          <w:szCs w:val="28"/>
          <w:rtl/>
        </w:rPr>
        <w:t xml:space="preserve">וצווי הגבלה </w:t>
      </w:r>
      <w:r w:rsidRPr="001A0B66">
        <w:rPr>
          <w:rFonts w:ascii="FrankRuehl" w:hAnsi="FrankRuehl" w:cs="FrankRuehl"/>
          <w:sz w:val="28"/>
          <w:szCs w:val="28"/>
          <w:rtl/>
        </w:rPr>
        <w:t>גם כלפי אזרחי</w:t>
      </w:r>
      <w:r w:rsidR="00B75C1C" w:rsidRPr="001A0B66">
        <w:rPr>
          <w:rFonts w:ascii="FrankRuehl" w:hAnsi="FrankRuehl" w:cs="FrankRuehl"/>
          <w:sz w:val="28"/>
          <w:szCs w:val="28"/>
          <w:rtl/>
        </w:rPr>
        <w:t>ה</w:t>
      </w:r>
      <w:r w:rsidR="00214327" w:rsidRPr="001A0B66">
        <w:rPr>
          <w:rFonts w:ascii="FrankRuehl" w:hAnsi="FrankRuehl" w:cs="FrankRuehl"/>
          <w:sz w:val="28"/>
          <w:szCs w:val="28"/>
          <w:rtl/>
        </w:rPr>
        <w:t xml:space="preserve">. </w:t>
      </w:r>
      <w:r w:rsidR="002B61C2" w:rsidRPr="001A0B66">
        <w:rPr>
          <w:rFonts w:ascii="FrankRuehl" w:hAnsi="FrankRuehl" w:cs="FrankRuehl"/>
          <w:sz w:val="28"/>
          <w:szCs w:val="28"/>
          <w:rtl/>
        </w:rPr>
        <w:t>במקביל ובעיקר, היא מפעילה אמצעים אלו</w:t>
      </w:r>
      <w:r w:rsidRPr="001A0B66">
        <w:rPr>
          <w:rFonts w:ascii="FrankRuehl" w:hAnsi="FrankRuehl" w:cs="FrankRuehl"/>
          <w:sz w:val="28"/>
          <w:szCs w:val="28"/>
          <w:rtl/>
        </w:rPr>
        <w:t xml:space="preserve"> כלפי </w:t>
      </w:r>
      <w:r w:rsidR="002B61C2" w:rsidRPr="001A0B66">
        <w:rPr>
          <w:rFonts w:ascii="FrankRuehl" w:hAnsi="FrankRuehl" w:cs="FrankRuehl"/>
          <w:sz w:val="28"/>
          <w:szCs w:val="28"/>
          <w:rtl/>
        </w:rPr>
        <w:t xml:space="preserve">הפלסטינים בשטחים (שהם "תושבים מוגנים" הנתונים ל"תפיסתה </w:t>
      </w:r>
      <w:proofErr w:type="spellStart"/>
      <w:r w:rsidR="002B61C2" w:rsidRPr="001A0B66">
        <w:rPr>
          <w:rFonts w:ascii="FrankRuehl" w:hAnsi="FrankRuehl" w:cs="FrankRuehl"/>
          <w:sz w:val="28"/>
          <w:szCs w:val="28"/>
          <w:rtl/>
        </w:rPr>
        <w:t>הלוחמתית</w:t>
      </w:r>
      <w:proofErr w:type="spellEnd"/>
      <w:r w:rsidR="002B61C2" w:rsidRPr="001A0B66">
        <w:rPr>
          <w:rFonts w:ascii="FrankRuehl" w:hAnsi="FrankRuehl" w:cs="FrankRuehl"/>
          <w:sz w:val="28"/>
          <w:szCs w:val="28"/>
          <w:rtl/>
        </w:rPr>
        <w:t xml:space="preserve">") </w:t>
      </w:r>
      <w:r w:rsidRPr="001A0B66">
        <w:rPr>
          <w:rFonts w:ascii="FrankRuehl" w:hAnsi="FrankRuehl" w:cs="FrankRuehl"/>
          <w:sz w:val="28"/>
          <w:szCs w:val="28"/>
          <w:rtl/>
        </w:rPr>
        <w:t>ו</w:t>
      </w:r>
      <w:r w:rsidR="002B61C2" w:rsidRPr="001A0B66">
        <w:rPr>
          <w:rFonts w:ascii="FrankRuehl" w:hAnsi="FrankRuehl" w:cs="FrankRuehl"/>
          <w:sz w:val="28"/>
          <w:szCs w:val="28"/>
          <w:rtl/>
        </w:rPr>
        <w:t xml:space="preserve">כלפי </w:t>
      </w:r>
      <w:r w:rsidRPr="001A0B66">
        <w:rPr>
          <w:rFonts w:ascii="FrankRuehl" w:hAnsi="FrankRuehl" w:cs="FrankRuehl"/>
          <w:sz w:val="28"/>
          <w:szCs w:val="28"/>
          <w:rtl/>
        </w:rPr>
        <w:t>תושבי מזרח ירושלים</w:t>
      </w:r>
      <w:r w:rsidR="002B61C2" w:rsidRPr="001A0B66">
        <w:rPr>
          <w:rFonts w:ascii="FrankRuehl" w:hAnsi="FrankRuehl" w:cs="FrankRuehl"/>
          <w:sz w:val="28"/>
          <w:szCs w:val="28"/>
          <w:rtl/>
        </w:rPr>
        <w:t xml:space="preserve"> (שהם תושבי קבע שלה)</w:t>
      </w:r>
      <w:r w:rsidRPr="001A0B66">
        <w:rPr>
          <w:rFonts w:ascii="FrankRuehl" w:hAnsi="FrankRuehl" w:cs="FrankRuehl"/>
          <w:sz w:val="28"/>
          <w:szCs w:val="28"/>
          <w:rtl/>
        </w:rPr>
        <w:t>.</w:t>
      </w:r>
      <w:r w:rsidR="005677C0" w:rsidRPr="001A0B66">
        <w:rPr>
          <w:rStyle w:val="FootnoteReference"/>
          <w:rFonts w:ascii="FrankRuehl" w:hAnsi="FrankRuehl" w:cs="FrankRuehl"/>
          <w:sz w:val="28"/>
          <w:szCs w:val="28"/>
          <w:rtl/>
        </w:rPr>
        <w:footnoteReference w:id="66"/>
      </w:r>
      <w:r w:rsidRPr="001A0B66">
        <w:rPr>
          <w:rFonts w:ascii="FrankRuehl" w:hAnsi="FrankRuehl" w:cs="FrankRuehl"/>
          <w:sz w:val="28"/>
          <w:szCs w:val="28"/>
          <w:rtl/>
        </w:rPr>
        <w:t xml:space="preserve"> בעבר גם בריטניה </w:t>
      </w:r>
      <w:r w:rsidR="0047574F" w:rsidRPr="001A0B66">
        <w:rPr>
          <w:rFonts w:ascii="FrankRuehl" w:hAnsi="FrankRuehl" w:cs="FrankRuehl"/>
          <w:sz w:val="28"/>
          <w:szCs w:val="28"/>
          <w:rtl/>
        </w:rPr>
        <w:t>השתמשה</w:t>
      </w:r>
      <w:r w:rsidRPr="001A0B66">
        <w:rPr>
          <w:rFonts w:ascii="FrankRuehl" w:hAnsi="FrankRuehl" w:cs="FrankRuehl"/>
          <w:sz w:val="28"/>
          <w:szCs w:val="28"/>
          <w:rtl/>
        </w:rPr>
        <w:t xml:space="preserve"> </w:t>
      </w:r>
      <w:r w:rsidR="0047574F" w:rsidRPr="001A0B66">
        <w:rPr>
          <w:rFonts w:ascii="FrankRuehl" w:hAnsi="FrankRuehl" w:cs="FrankRuehl"/>
          <w:sz w:val="28"/>
          <w:szCs w:val="28"/>
          <w:rtl/>
        </w:rPr>
        <w:t xml:space="preserve">בכלי של </w:t>
      </w:r>
      <w:r w:rsidRPr="001A0B66">
        <w:rPr>
          <w:rFonts w:ascii="FrankRuehl" w:hAnsi="FrankRuehl" w:cs="FrankRuehl"/>
          <w:sz w:val="28"/>
          <w:szCs w:val="28"/>
          <w:rtl/>
        </w:rPr>
        <w:t>מעצר מנהלי כלפי אזרחיה – צפון אירלנד הייתה דוגמ</w:t>
      </w:r>
      <w:r w:rsidR="00492DFD" w:rsidRPr="001A0B66">
        <w:rPr>
          <w:rFonts w:ascii="FrankRuehl" w:hAnsi="FrankRuehl" w:cs="FrankRuehl"/>
          <w:sz w:val="28"/>
          <w:szCs w:val="28"/>
          <w:rtl/>
        </w:rPr>
        <w:t>ה</w:t>
      </w:r>
      <w:r w:rsidRPr="001A0B66">
        <w:rPr>
          <w:rFonts w:ascii="FrankRuehl" w:hAnsi="FrankRuehl" w:cs="FrankRuehl"/>
          <w:sz w:val="28"/>
          <w:szCs w:val="28"/>
          <w:rtl/>
        </w:rPr>
        <w:t xml:space="preserve"> מובהקת – אולם היא חדלה מכך. ישראל</w:t>
      </w:r>
      <w:r w:rsidR="00420082" w:rsidRPr="001A0B66">
        <w:rPr>
          <w:rFonts w:ascii="FrankRuehl" w:hAnsi="FrankRuehl" w:cs="FrankRuehl"/>
          <w:sz w:val="28"/>
          <w:szCs w:val="28"/>
          <w:rtl/>
        </w:rPr>
        <w:t xml:space="preserve"> עושה</w:t>
      </w:r>
      <w:r w:rsidR="00B75C1C" w:rsidRPr="001A0B66">
        <w:rPr>
          <w:rFonts w:ascii="FrankRuehl" w:hAnsi="FrankRuehl" w:cs="FrankRuehl"/>
          <w:sz w:val="28"/>
          <w:szCs w:val="28"/>
          <w:rtl/>
        </w:rPr>
        <w:t xml:space="preserve"> כאמור</w:t>
      </w:r>
      <w:r w:rsidR="00420082" w:rsidRPr="001A0B66">
        <w:rPr>
          <w:rFonts w:ascii="FrankRuehl" w:hAnsi="FrankRuehl" w:cs="FrankRuehl"/>
          <w:sz w:val="28"/>
          <w:szCs w:val="28"/>
          <w:rtl/>
        </w:rPr>
        <w:t xml:space="preserve"> שימוש רב</w:t>
      </w:r>
      <w:r w:rsidRPr="001A0B66">
        <w:rPr>
          <w:rFonts w:ascii="FrankRuehl" w:hAnsi="FrankRuehl" w:cs="FrankRuehl"/>
          <w:sz w:val="28"/>
          <w:szCs w:val="28"/>
          <w:rtl/>
        </w:rPr>
        <w:t xml:space="preserve"> </w:t>
      </w:r>
      <w:r w:rsidR="00420082" w:rsidRPr="001A0B66">
        <w:rPr>
          <w:rFonts w:ascii="FrankRuehl" w:hAnsi="FrankRuehl" w:cs="FrankRuehl"/>
          <w:sz w:val="28"/>
          <w:szCs w:val="28"/>
          <w:rtl/>
        </w:rPr>
        <w:t>ב</w:t>
      </w:r>
      <w:r w:rsidRPr="001A0B66">
        <w:rPr>
          <w:rFonts w:ascii="FrankRuehl" w:hAnsi="FrankRuehl" w:cs="FrankRuehl"/>
          <w:sz w:val="28"/>
          <w:szCs w:val="28"/>
          <w:rtl/>
        </w:rPr>
        <w:t xml:space="preserve">מעצר המנהלי; מצב דברים זה קשור בעיקר לשליטה הישראלית </w:t>
      </w:r>
      <w:r w:rsidR="00502808" w:rsidRPr="001A0B66">
        <w:rPr>
          <w:rFonts w:ascii="FrankRuehl" w:hAnsi="FrankRuehl" w:cs="FrankRuehl"/>
          <w:sz w:val="28"/>
          <w:szCs w:val="28"/>
          <w:rtl/>
        </w:rPr>
        <w:t xml:space="preserve">ולהתנגדות לה </w:t>
      </w:r>
      <w:r w:rsidRPr="001A0B66">
        <w:rPr>
          <w:rFonts w:ascii="FrankRuehl" w:hAnsi="FrankRuehl" w:cs="FrankRuehl"/>
          <w:sz w:val="28"/>
          <w:szCs w:val="28"/>
          <w:rtl/>
        </w:rPr>
        <w:t>ב</w:t>
      </w:r>
      <w:r w:rsidR="00502808" w:rsidRPr="001A0B66">
        <w:rPr>
          <w:rFonts w:ascii="FrankRuehl" w:hAnsi="FrankRuehl" w:cs="FrankRuehl"/>
          <w:sz w:val="28"/>
          <w:szCs w:val="28"/>
          <w:rtl/>
        </w:rPr>
        <w:t>גדה המערבית ובמזרח ירושלים</w:t>
      </w:r>
      <w:r w:rsidR="00492DFD" w:rsidRPr="001A0B66">
        <w:rPr>
          <w:rFonts w:ascii="FrankRuehl" w:hAnsi="FrankRuehl" w:cs="FrankRuehl"/>
          <w:sz w:val="28"/>
          <w:szCs w:val="28"/>
          <w:rtl/>
        </w:rPr>
        <w:t>,</w:t>
      </w:r>
      <w:r w:rsidRPr="001A0B66">
        <w:rPr>
          <w:rFonts w:ascii="FrankRuehl" w:hAnsi="FrankRuehl" w:cs="FrankRuehl"/>
          <w:sz w:val="28"/>
          <w:szCs w:val="28"/>
          <w:rtl/>
        </w:rPr>
        <w:t xml:space="preserve"> והוא מתקיים </w:t>
      </w:r>
      <w:r w:rsidR="00492DFD" w:rsidRPr="001A0B66">
        <w:rPr>
          <w:rFonts w:ascii="FrankRuehl" w:hAnsi="FrankRuehl" w:cs="FrankRuehl"/>
          <w:sz w:val="28"/>
          <w:szCs w:val="28"/>
          <w:rtl/>
        </w:rPr>
        <w:t xml:space="preserve">במשך </w:t>
      </w:r>
      <w:r w:rsidRPr="001A0B66">
        <w:rPr>
          <w:rFonts w:ascii="FrankRuehl" w:hAnsi="FrankRuehl" w:cs="FrankRuehl"/>
          <w:sz w:val="28"/>
          <w:szCs w:val="28"/>
          <w:rtl/>
        </w:rPr>
        <w:t xml:space="preserve">שנים </w:t>
      </w:r>
      <w:r w:rsidR="00492DFD" w:rsidRPr="001A0B66">
        <w:rPr>
          <w:rFonts w:ascii="FrankRuehl" w:hAnsi="FrankRuehl" w:cs="FrankRuehl"/>
          <w:sz w:val="28"/>
          <w:szCs w:val="28"/>
          <w:rtl/>
        </w:rPr>
        <w:t xml:space="preserve">רבות </w:t>
      </w:r>
      <w:r w:rsidRPr="001A0B66">
        <w:rPr>
          <w:rFonts w:ascii="FrankRuehl" w:hAnsi="FrankRuehl" w:cs="FrankRuehl"/>
          <w:sz w:val="28"/>
          <w:szCs w:val="28"/>
          <w:rtl/>
        </w:rPr>
        <w:t>מא</w:t>
      </w:r>
      <w:r w:rsidR="00704948" w:rsidRPr="001A0B66">
        <w:rPr>
          <w:rFonts w:ascii="FrankRuehl" w:hAnsi="FrankRuehl" w:cs="FrankRuehl"/>
          <w:sz w:val="28"/>
          <w:szCs w:val="28"/>
          <w:rtl/>
        </w:rPr>
        <w:t>ו</w:t>
      </w:r>
      <w:r w:rsidRPr="001A0B66">
        <w:rPr>
          <w:rFonts w:ascii="FrankRuehl" w:hAnsi="FrankRuehl" w:cs="FrankRuehl"/>
          <w:sz w:val="28"/>
          <w:szCs w:val="28"/>
          <w:rtl/>
        </w:rPr>
        <w:t xml:space="preserve">ד. </w:t>
      </w:r>
      <w:r w:rsidR="009A0C06" w:rsidRPr="001A0B66">
        <w:rPr>
          <w:rFonts w:ascii="FrankRuehl" w:hAnsi="FrankRuehl" w:cs="FrankRuehl"/>
          <w:sz w:val="28"/>
          <w:szCs w:val="28"/>
          <w:rtl/>
        </w:rPr>
        <w:t>כלומר, מקורו של ה</w:t>
      </w:r>
      <w:r w:rsidR="00171B4B" w:rsidRPr="001A0B66">
        <w:rPr>
          <w:rFonts w:ascii="FrankRuehl" w:hAnsi="FrankRuehl" w:cs="FrankRuehl"/>
          <w:sz w:val="28"/>
          <w:szCs w:val="28"/>
          <w:rtl/>
        </w:rPr>
        <w:t>שימוש ב</w:t>
      </w:r>
      <w:r w:rsidR="009A0C06" w:rsidRPr="001A0B66">
        <w:rPr>
          <w:rFonts w:ascii="FrankRuehl" w:hAnsi="FrankRuehl" w:cs="FrankRuehl"/>
          <w:sz w:val="28"/>
          <w:szCs w:val="28"/>
          <w:rtl/>
        </w:rPr>
        <w:t>מעצר</w:t>
      </w:r>
      <w:r w:rsidR="00171B4B" w:rsidRPr="001A0B66">
        <w:rPr>
          <w:rFonts w:ascii="FrankRuehl" w:hAnsi="FrankRuehl" w:cs="FrankRuehl"/>
          <w:sz w:val="28"/>
          <w:szCs w:val="28"/>
          <w:rtl/>
        </w:rPr>
        <w:t xml:space="preserve"> </w:t>
      </w:r>
      <w:proofErr w:type="spellStart"/>
      <w:r w:rsidR="00171B4B" w:rsidRPr="001A0B66">
        <w:rPr>
          <w:rFonts w:ascii="FrankRuehl" w:hAnsi="FrankRuehl" w:cs="FrankRuehl"/>
          <w:sz w:val="28"/>
          <w:szCs w:val="28"/>
          <w:rtl/>
        </w:rPr>
        <w:t>מינהלי</w:t>
      </w:r>
      <w:proofErr w:type="spellEnd"/>
      <w:r w:rsidR="00171B4B" w:rsidRPr="001A0B66">
        <w:rPr>
          <w:rFonts w:ascii="FrankRuehl" w:hAnsi="FrankRuehl" w:cs="FrankRuehl"/>
          <w:sz w:val="28"/>
          <w:szCs w:val="28"/>
          <w:rtl/>
        </w:rPr>
        <w:t xml:space="preserve"> בישראל</w:t>
      </w:r>
      <w:r w:rsidR="009A0C06" w:rsidRPr="001A0B66">
        <w:rPr>
          <w:rFonts w:ascii="FrankRuehl" w:hAnsi="FrankRuehl" w:cs="FrankRuehl"/>
          <w:sz w:val="28"/>
          <w:szCs w:val="28"/>
          <w:rtl/>
        </w:rPr>
        <w:t xml:space="preserve"> אינו בהליכי הגירה אלא בסמכויות שעת חירום</w:t>
      </w:r>
      <w:r w:rsidR="00B75C1C" w:rsidRPr="001A0B66">
        <w:rPr>
          <w:rFonts w:ascii="FrankRuehl" w:hAnsi="FrankRuehl" w:cs="FrankRuehl"/>
          <w:sz w:val="28"/>
          <w:szCs w:val="28"/>
          <w:rtl/>
        </w:rPr>
        <w:t xml:space="preserve"> בישראל</w:t>
      </w:r>
      <w:r w:rsidR="009A0C06" w:rsidRPr="001A0B66">
        <w:rPr>
          <w:rFonts w:ascii="FrankRuehl" w:hAnsi="FrankRuehl" w:cs="FrankRuehl"/>
          <w:sz w:val="28"/>
          <w:szCs w:val="28"/>
          <w:rtl/>
        </w:rPr>
        <w:t xml:space="preserve"> </w:t>
      </w:r>
      <w:r w:rsidR="00E74FD9" w:rsidRPr="001A0B66">
        <w:rPr>
          <w:rFonts w:ascii="FrankRuehl" w:hAnsi="FrankRuehl" w:cs="FrankRuehl"/>
          <w:sz w:val="28"/>
          <w:szCs w:val="28"/>
          <w:rtl/>
        </w:rPr>
        <w:t xml:space="preserve">ובדיני "תפיסה </w:t>
      </w:r>
      <w:proofErr w:type="spellStart"/>
      <w:r w:rsidR="00E74FD9" w:rsidRPr="001A0B66">
        <w:rPr>
          <w:rFonts w:ascii="FrankRuehl" w:hAnsi="FrankRuehl" w:cs="FrankRuehl"/>
          <w:sz w:val="28"/>
          <w:szCs w:val="28"/>
          <w:rtl/>
        </w:rPr>
        <w:t>לוחמתית</w:t>
      </w:r>
      <w:proofErr w:type="spellEnd"/>
      <w:r w:rsidR="00E74FD9" w:rsidRPr="001A0B66">
        <w:rPr>
          <w:rFonts w:ascii="FrankRuehl" w:hAnsi="FrankRuehl" w:cs="FrankRuehl"/>
          <w:sz w:val="28"/>
          <w:szCs w:val="28"/>
          <w:rtl/>
        </w:rPr>
        <w:t>"</w:t>
      </w:r>
      <w:r w:rsidR="00B75C1C" w:rsidRPr="001A0B66">
        <w:rPr>
          <w:rFonts w:ascii="FrankRuehl" w:hAnsi="FrankRuehl" w:cs="FrankRuehl"/>
          <w:sz w:val="28"/>
          <w:szCs w:val="28"/>
          <w:rtl/>
        </w:rPr>
        <w:t xml:space="preserve"> בשטחים</w:t>
      </w:r>
      <w:r w:rsidR="00A96E55" w:rsidRPr="001A0B66">
        <w:rPr>
          <w:rFonts w:ascii="FrankRuehl" w:hAnsi="FrankRuehl" w:cs="FrankRuehl"/>
          <w:sz w:val="28"/>
          <w:szCs w:val="28"/>
          <w:rtl/>
        </w:rPr>
        <w:t>.</w:t>
      </w:r>
      <w:r w:rsidR="00D42C96" w:rsidRPr="001A0B66">
        <w:rPr>
          <w:rFonts w:ascii="FrankRuehl" w:hAnsi="FrankRuehl" w:cs="FrankRuehl"/>
          <w:sz w:val="28"/>
          <w:szCs w:val="28"/>
          <w:rtl/>
        </w:rPr>
        <w:t xml:space="preserve"> </w:t>
      </w:r>
      <w:r w:rsidR="00B75C1C" w:rsidRPr="001A0B66">
        <w:rPr>
          <w:rFonts w:ascii="FrankRuehl" w:hAnsi="FrankRuehl" w:cs="FrankRuehl"/>
          <w:sz w:val="28"/>
          <w:szCs w:val="28"/>
          <w:rtl/>
        </w:rPr>
        <w:t>משום</w:t>
      </w:r>
      <w:r w:rsidR="00530B3B" w:rsidRPr="001A0B66">
        <w:rPr>
          <w:rFonts w:ascii="FrankRuehl" w:hAnsi="FrankRuehl" w:cs="FrankRuehl"/>
          <w:sz w:val="28"/>
          <w:szCs w:val="28"/>
          <w:rtl/>
        </w:rPr>
        <w:t xml:space="preserve"> כך</w:t>
      </w:r>
      <w:r w:rsidR="00B75C1C" w:rsidRPr="001A0B66">
        <w:rPr>
          <w:rFonts w:ascii="FrankRuehl" w:hAnsi="FrankRuehl" w:cs="FrankRuehl"/>
          <w:sz w:val="28"/>
          <w:szCs w:val="28"/>
          <w:rtl/>
        </w:rPr>
        <w:t>, הרי שבה</w:t>
      </w:r>
      <w:r w:rsidR="00E74FD9" w:rsidRPr="001A0B66">
        <w:rPr>
          <w:rFonts w:ascii="FrankRuehl" w:hAnsi="FrankRuehl" w:cs="FrankRuehl"/>
          <w:sz w:val="28"/>
          <w:szCs w:val="28"/>
          <w:rtl/>
        </w:rPr>
        <w:t>משך נשמיע הצעה באשר ל</w:t>
      </w:r>
      <w:r w:rsidR="00D42C96" w:rsidRPr="001A0B66">
        <w:rPr>
          <w:rFonts w:ascii="FrankRuehl" w:hAnsi="FrankRuehl" w:cs="FrankRuehl"/>
          <w:sz w:val="28"/>
          <w:szCs w:val="28"/>
          <w:rtl/>
        </w:rPr>
        <w:t xml:space="preserve">תפקידה של הסנגוריה הצבאית, </w:t>
      </w:r>
      <w:r w:rsidR="00AF5FB9" w:rsidRPr="001A0B66">
        <w:rPr>
          <w:rFonts w:ascii="FrankRuehl" w:hAnsi="FrankRuehl" w:cs="FrankRuehl"/>
          <w:sz w:val="28"/>
          <w:szCs w:val="28"/>
          <w:rtl/>
        </w:rPr>
        <w:t>בהשראת</w:t>
      </w:r>
      <w:r w:rsidR="00B75C1C" w:rsidRPr="001A0B66">
        <w:rPr>
          <w:rFonts w:ascii="FrankRuehl" w:hAnsi="FrankRuehl" w:cs="FrankRuehl"/>
          <w:sz w:val="28"/>
          <w:szCs w:val="28"/>
          <w:rtl/>
        </w:rPr>
        <w:t xml:space="preserve"> </w:t>
      </w:r>
      <w:proofErr w:type="spellStart"/>
      <w:r w:rsidR="00530B3B" w:rsidRPr="001A0B66">
        <w:rPr>
          <w:rFonts w:ascii="FrankRuehl" w:hAnsi="FrankRuehl" w:cs="FrankRuehl"/>
          <w:sz w:val="28"/>
          <w:szCs w:val="28"/>
          <w:rtl/>
        </w:rPr>
        <w:t>נסיונה</w:t>
      </w:r>
      <w:proofErr w:type="spellEnd"/>
      <w:r w:rsidR="00530B3B" w:rsidRPr="001A0B66">
        <w:rPr>
          <w:rFonts w:ascii="FrankRuehl" w:hAnsi="FrankRuehl" w:cs="FrankRuehl"/>
          <w:sz w:val="28"/>
          <w:szCs w:val="28"/>
          <w:rtl/>
        </w:rPr>
        <w:t xml:space="preserve"> של הסנגוריה הציבורית בישראל ו</w:t>
      </w:r>
      <w:r w:rsidR="00D42C96" w:rsidRPr="001A0B66">
        <w:rPr>
          <w:rFonts w:ascii="FrankRuehl" w:hAnsi="FrankRuehl" w:cs="FrankRuehl"/>
          <w:sz w:val="28"/>
          <w:szCs w:val="28"/>
          <w:rtl/>
        </w:rPr>
        <w:t>הנ</w:t>
      </w:r>
      <w:r w:rsidR="000867B6" w:rsidRPr="001A0B66">
        <w:rPr>
          <w:rFonts w:ascii="FrankRuehl" w:hAnsi="FrankRuehl" w:cs="FrankRuehl"/>
          <w:sz w:val="28"/>
          <w:szCs w:val="28"/>
          <w:rtl/>
        </w:rPr>
        <w:t>י</w:t>
      </w:r>
      <w:r w:rsidR="00D42C96" w:rsidRPr="001A0B66">
        <w:rPr>
          <w:rFonts w:ascii="FrankRuehl" w:hAnsi="FrankRuehl" w:cs="FrankRuehl"/>
          <w:sz w:val="28"/>
          <w:szCs w:val="28"/>
          <w:rtl/>
        </w:rPr>
        <w:t>סיון האמריקאי ביחס לעצורים זרים חשודים בטרור ש</w:t>
      </w:r>
      <w:r w:rsidR="00381C60" w:rsidRPr="001A0B66">
        <w:rPr>
          <w:rFonts w:ascii="FrankRuehl" w:hAnsi="FrankRuehl" w:cs="FrankRuehl"/>
          <w:sz w:val="28"/>
          <w:szCs w:val="28"/>
          <w:rtl/>
        </w:rPr>
        <w:t xml:space="preserve">מונו </w:t>
      </w:r>
      <w:r w:rsidR="00D42C96" w:rsidRPr="001A0B66">
        <w:rPr>
          <w:rFonts w:ascii="FrankRuehl" w:hAnsi="FrankRuehl" w:cs="FrankRuehl"/>
          <w:sz w:val="28"/>
          <w:szCs w:val="28"/>
          <w:rtl/>
        </w:rPr>
        <w:t xml:space="preserve">להם סנגורים מצבא </w:t>
      </w:r>
      <w:r w:rsidR="00381C60" w:rsidRPr="001A0B66">
        <w:rPr>
          <w:rFonts w:ascii="FrankRuehl" w:hAnsi="FrankRuehl" w:cs="FrankRuehl"/>
          <w:sz w:val="28"/>
          <w:szCs w:val="28"/>
          <w:rtl/>
        </w:rPr>
        <w:t>ארצות הברית</w:t>
      </w:r>
      <w:r w:rsidR="00D42C96" w:rsidRPr="001A0B66">
        <w:rPr>
          <w:rFonts w:ascii="FrankRuehl" w:hAnsi="FrankRuehl" w:cs="FrankRuehl"/>
          <w:sz w:val="28"/>
          <w:szCs w:val="28"/>
          <w:rtl/>
        </w:rPr>
        <w:t>.</w:t>
      </w:r>
      <w:r w:rsidR="008871DD" w:rsidRPr="001A0B66">
        <w:rPr>
          <w:rFonts w:ascii="FrankRuehl" w:hAnsi="FrankRuehl" w:cs="FrankRuehl"/>
          <w:sz w:val="28"/>
          <w:szCs w:val="28"/>
          <w:rtl/>
        </w:rPr>
        <w:t xml:space="preserve"> </w:t>
      </w:r>
    </w:p>
    <w:p w14:paraId="7525A9BD" w14:textId="77777777" w:rsidR="005F50ED" w:rsidRPr="001A0B66" w:rsidRDefault="009F14C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w:t>
      </w:r>
      <w:r w:rsidR="00D42C96" w:rsidRPr="001A0B66">
        <w:rPr>
          <w:rFonts w:ascii="FrankRuehl" w:hAnsi="FrankRuehl" w:cs="FrankRuehl"/>
          <w:sz w:val="28"/>
          <w:szCs w:val="28"/>
          <w:rtl/>
        </w:rPr>
        <w:t>בריטניה ובקנדה</w:t>
      </w:r>
      <w:r w:rsidRPr="001A0B66">
        <w:rPr>
          <w:rFonts w:ascii="FrankRuehl" w:hAnsi="FrankRuehl" w:cs="FrankRuehl"/>
          <w:sz w:val="28"/>
          <w:szCs w:val="28"/>
          <w:rtl/>
        </w:rPr>
        <w:t xml:space="preserve"> לא נעשה שימוש נרחב במעצר מנהלי כפי שנעשה בישראל</w:t>
      </w:r>
      <w:r w:rsidR="00B75C1C" w:rsidRPr="001A0B66">
        <w:rPr>
          <w:rFonts w:ascii="FrankRuehl" w:hAnsi="FrankRuehl" w:cs="FrankRuehl"/>
          <w:sz w:val="28"/>
          <w:szCs w:val="28"/>
          <w:rtl/>
        </w:rPr>
        <w:t xml:space="preserve">. שם גם </w:t>
      </w:r>
      <w:r w:rsidRPr="001A0B66">
        <w:rPr>
          <w:rFonts w:ascii="FrankRuehl" w:hAnsi="FrankRuehl" w:cs="FrankRuehl"/>
          <w:sz w:val="28"/>
          <w:szCs w:val="28"/>
          <w:rtl/>
        </w:rPr>
        <w:t>לא נעשה שימוש במודל הניהול השיפוטי</w:t>
      </w:r>
      <w:r w:rsidR="00E74FD9" w:rsidRPr="001A0B66">
        <w:rPr>
          <w:rFonts w:ascii="FrankRuehl" w:hAnsi="FrankRuehl" w:cs="FrankRuehl"/>
          <w:sz w:val="28"/>
          <w:szCs w:val="28"/>
          <w:rtl/>
        </w:rPr>
        <w:t>; הבחירה הייתה במודל הפרקליט המיוחד</w:t>
      </w:r>
      <w:r w:rsidRPr="001A0B66">
        <w:rPr>
          <w:rFonts w:ascii="FrankRuehl" w:hAnsi="FrankRuehl" w:cs="FrankRuehl"/>
          <w:sz w:val="28"/>
          <w:szCs w:val="28"/>
          <w:rtl/>
        </w:rPr>
        <w:t>.</w:t>
      </w:r>
      <w:bookmarkStart w:id="51" w:name="_Hlk67053399"/>
      <w:r w:rsidR="00E2131D" w:rsidRPr="001A0B66">
        <w:rPr>
          <w:rStyle w:val="FootnoteReference"/>
          <w:rFonts w:ascii="FrankRuehl" w:hAnsi="FrankRuehl" w:cs="FrankRuehl"/>
          <w:sz w:val="28"/>
          <w:szCs w:val="28"/>
          <w:rtl/>
        </w:rPr>
        <w:footnoteReference w:id="67"/>
      </w:r>
      <w:bookmarkEnd w:id="51"/>
      <w:r w:rsidRPr="001A0B66">
        <w:rPr>
          <w:rFonts w:ascii="FrankRuehl" w:hAnsi="FrankRuehl" w:cs="FrankRuehl"/>
          <w:sz w:val="28"/>
          <w:szCs w:val="28"/>
          <w:rtl/>
        </w:rPr>
        <w:t xml:space="preserve"> </w:t>
      </w:r>
      <w:r w:rsidR="006E5FCA" w:rsidRPr="001A0B66">
        <w:rPr>
          <w:rFonts w:ascii="FrankRuehl" w:hAnsi="FrankRuehl" w:cs="FrankRuehl"/>
          <w:sz w:val="28"/>
          <w:szCs w:val="28"/>
          <w:rtl/>
        </w:rPr>
        <w:t>לא מדובר בפתרון קסם:</w:t>
      </w:r>
      <w:r w:rsidR="00B75C1C" w:rsidRPr="001A0B66">
        <w:rPr>
          <w:rFonts w:ascii="FrankRuehl" w:hAnsi="FrankRuehl" w:cs="FrankRuehl"/>
          <w:sz w:val="28"/>
          <w:szCs w:val="28"/>
          <w:rtl/>
        </w:rPr>
        <w:t xml:space="preserve"> </w:t>
      </w:r>
      <w:r w:rsidR="005F50ED" w:rsidRPr="001A0B66">
        <w:rPr>
          <w:rFonts w:ascii="FrankRuehl" w:hAnsi="FrankRuehl" w:cs="FrankRuehl"/>
          <w:sz w:val="28"/>
          <w:szCs w:val="28"/>
          <w:rtl/>
        </w:rPr>
        <w:t>עורכי הדין המיוחדים באנגליה מדווחים על תסכול רב מניהול ההליכים החסויים</w:t>
      </w:r>
      <w:r w:rsidR="00381C60" w:rsidRPr="001A0B66">
        <w:rPr>
          <w:rFonts w:ascii="FrankRuehl" w:hAnsi="FrankRuehl" w:cs="FrankRuehl"/>
          <w:sz w:val="28"/>
          <w:szCs w:val="28"/>
          <w:rtl/>
        </w:rPr>
        <w:t xml:space="preserve"> – </w:t>
      </w:r>
      <w:r w:rsidR="005F50ED" w:rsidRPr="001A0B66">
        <w:rPr>
          <w:rFonts w:ascii="FrankRuehl" w:hAnsi="FrankRuehl" w:cs="FrankRuehl"/>
          <w:sz w:val="28"/>
          <w:szCs w:val="28"/>
          <w:rtl/>
        </w:rPr>
        <w:t>הם חשים שנעשה בהם</w:t>
      </w:r>
      <w:r w:rsidR="00B75C1C" w:rsidRPr="001A0B66">
        <w:rPr>
          <w:rFonts w:ascii="FrankRuehl" w:hAnsi="FrankRuehl" w:cs="FrankRuehl"/>
          <w:sz w:val="28"/>
          <w:szCs w:val="28"/>
          <w:rtl/>
        </w:rPr>
        <w:t>, עורכי הדין,</w:t>
      </w:r>
      <w:r w:rsidR="005F50ED" w:rsidRPr="001A0B66">
        <w:rPr>
          <w:rFonts w:ascii="FrankRuehl" w:hAnsi="FrankRuehl" w:cs="FrankRuehl"/>
          <w:sz w:val="28"/>
          <w:szCs w:val="28"/>
          <w:rtl/>
        </w:rPr>
        <w:t xml:space="preserve"> שימוש כאמצעי למתן לגיטימציה להלי</w:t>
      </w:r>
      <w:r w:rsidR="00381C60" w:rsidRPr="001A0B66">
        <w:rPr>
          <w:rFonts w:ascii="FrankRuehl" w:hAnsi="FrankRuehl" w:cs="FrankRuehl"/>
          <w:sz w:val="28"/>
          <w:szCs w:val="28"/>
          <w:rtl/>
        </w:rPr>
        <w:t>כים</w:t>
      </w:r>
      <w:r w:rsidR="005F50ED" w:rsidRPr="001A0B66">
        <w:rPr>
          <w:rFonts w:ascii="FrankRuehl" w:hAnsi="FrankRuehl" w:cs="FrankRuehl"/>
          <w:sz w:val="28"/>
          <w:szCs w:val="28"/>
          <w:rtl/>
        </w:rPr>
        <w:t xml:space="preserve"> פגו</w:t>
      </w:r>
      <w:r w:rsidR="00381C60" w:rsidRPr="001A0B66">
        <w:rPr>
          <w:rFonts w:ascii="FrankRuehl" w:hAnsi="FrankRuehl" w:cs="FrankRuehl"/>
          <w:sz w:val="28"/>
          <w:szCs w:val="28"/>
          <w:rtl/>
        </w:rPr>
        <w:t>מי</w:t>
      </w:r>
      <w:r w:rsidR="005F50ED" w:rsidRPr="001A0B66">
        <w:rPr>
          <w:rFonts w:ascii="FrankRuehl" w:hAnsi="FrankRuehl" w:cs="FrankRuehl"/>
          <w:sz w:val="28"/>
          <w:szCs w:val="28"/>
          <w:rtl/>
        </w:rPr>
        <w:t>ם מעיקר</w:t>
      </w:r>
      <w:r w:rsidR="00381C60" w:rsidRPr="001A0B66">
        <w:rPr>
          <w:rFonts w:ascii="FrankRuehl" w:hAnsi="FrankRuehl" w:cs="FrankRuehl"/>
          <w:sz w:val="28"/>
          <w:szCs w:val="28"/>
          <w:rtl/>
        </w:rPr>
        <w:t>ם</w:t>
      </w:r>
      <w:r w:rsidR="00A96E55" w:rsidRPr="001A0B66">
        <w:rPr>
          <w:rFonts w:ascii="FrankRuehl" w:hAnsi="FrankRuehl" w:cs="FrankRuehl"/>
          <w:sz w:val="28"/>
          <w:szCs w:val="28"/>
          <w:rtl/>
        </w:rPr>
        <w:t xml:space="preserve">, </w:t>
      </w:r>
      <w:r w:rsidR="00381C60" w:rsidRPr="001A0B66">
        <w:rPr>
          <w:rFonts w:ascii="FrankRuehl" w:hAnsi="FrankRuehl" w:cs="FrankRuehl"/>
          <w:sz w:val="28"/>
          <w:szCs w:val="28"/>
          <w:rtl/>
        </w:rPr>
        <w:t xml:space="preserve">ומביעים </w:t>
      </w:r>
      <w:r w:rsidR="00A96E55" w:rsidRPr="001A0B66">
        <w:rPr>
          <w:rFonts w:ascii="FrankRuehl" w:hAnsi="FrankRuehl" w:cs="FrankRuehl"/>
          <w:sz w:val="28"/>
          <w:szCs w:val="28"/>
          <w:rtl/>
        </w:rPr>
        <w:t>ביקורת על הליכים אלו</w:t>
      </w:r>
      <w:r w:rsidR="005F50ED" w:rsidRPr="001A0B66">
        <w:rPr>
          <w:rFonts w:ascii="FrankRuehl" w:hAnsi="FrankRuehl" w:cs="FrankRuehl"/>
          <w:sz w:val="28"/>
          <w:szCs w:val="28"/>
          <w:rtl/>
        </w:rPr>
        <w:t>.</w:t>
      </w:r>
      <w:bookmarkStart w:id="52" w:name="_Ref53003616"/>
      <w:r w:rsidR="005F50ED" w:rsidRPr="001A0B66">
        <w:rPr>
          <w:rStyle w:val="FootnoteReference"/>
          <w:rFonts w:ascii="FrankRuehl" w:hAnsi="FrankRuehl" w:cs="FrankRuehl"/>
          <w:sz w:val="28"/>
          <w:szCs w:val="28"/>
          <w:rtl/>
        </w:rPr>
        <w:footnoteReference w:id="68"/>
      </w:r>
      <w:bookmarkEnd w:id="52"/>
      <w:r w:rsidR="005F50ED" w:rsidRPr="001A0B66">
        <w:rPr>
          <w:rStyle w:val="FootnoteReference"/>
          <w:rFonts w:ascii="FrankRuehl" w:hAnsi="FrankRuehl" w:cs="FrankRuehl"/>
          <w:sz w:val="28"/>
          <w:szCs w:val="28"/>
          <w:rtl/>
        </w:rPr>
        <w:t xml:space="preserve"> </w:t>
      </w:r>
      <w:r w:rsidR="006E5FCA" w:rsidRPr="001A0B66">
        <w:rPr>
          <w:rFonts w:ascii="FrankRuehl" w:hAnsi="FrankRuehl" w:cs="FrankRuehl"/>
          <w:sz w:val="28"/>
          <w:szCs w:val="28"/>
          <w:rtl/>
        </w:rPr>
        <w:t>א</w:t>
      </w:r>
      <w:r w:rsidR="00761C10" w:rsidRPr="001A0B66">
        <w:rPr>
          <w:rFonts w:ascii="FrankRuehl" w:hAnsi="FrankRuehl" w:cs="FrankRuehl"/>
          <w:sz w:val="28"/>
          <w:szCs w:val="28"/>
          <w:rtl/>
        </w:rPr>
        <w:t>ולם, א</w:t>
      </w:r>
      <w:r w:rsidR="006E5FCA" w:rsidRPr="001A0B66">
        <w:rPr>
          <w:rFonts w:ascii="FrankRuehl" w:hAnsi="FrankRuehl" w:cs="FrankRuehl"/>
          <w:sz w:val="28"/>
          <w:szCs w:val="28"/>
          <w:rtl/>
        </w:rPr>
        <w:t xml:space="preserve">ת </w:t>
      </w:r>
      <w:r w:rsidR="00381C60" w:rsidRPr="001A0B66">
        <w:rPr>
          <w:rFonts w:ascii="FrankRuehl" w:hAnsi="FrankRuehl" w:cs="FrankRuehl"/>
          <w:sz w:val="28"/>
          <w:szCs w:val="28"/>
          <w:rtl/>
        </w:rPr>
        <w:t>ה</w:t>
      </w:r>
      <w:r w:rsidR="00875EB7" w:rsidRPr="001A0B66">
        <w:rPr>
          <w:rFonts w:ascii="FrankRuehl" w:hAnsi="FrankRuehl" w:cs="FrankRuehl"/>
          <w:sz w:val="28"/>
          <w:szCs w:val="28"/>
          <w:rtl/>
        </w:rPr>
        <w:t xml:space="preserve">ביקורת </w:t>
      </w:r>
      <w:r w:rsidR="00B75C1C" w:rsidRPr="001A0B66">
        <w:rPr>
          <w:rFonts w:ascii="FrankRuehl" w:hAnsi="FrankRuehl" w:cs="FrankRuehl"/>
          <w:sz w:val="28"/>
          <w:szCs w:val="28"/>
          <w:rtl/>
        </w:rPr>
        <w:t xml:space="preserve">הזו </w:t>
      </w:r>
      <w:r w:rsidR="00761C10" w:rsidRPr="001A0B66">
        <w:rPr>
          <w:rFonts w:ascii="FrankRuehl" w:hAnsi="FrankRuehl" w:cs="FrankRuehl"/>
          <w:sz w:val="28"/>
          <w:szCs w:val="28"/>
          <w:rtl/>
        </w:rPr>
        <w:t>אין להבין כמכוונת כנגד מודל הפרקליט המיוחד דווקא, אלא כ</w:t>
      </w:r>
      <w:r w:rsidRPr="001A0B66">
        <w:rPr>
          <w:rFonts w:ascii="FrankRuehl" w:hAnsi="FrankRuehl" w:cs="FrankRuehl"/>
          <w:sz w:val="28"/>
          <w:szCs w:val="28"/>
          <w:rtl/>
        </w:rPr>
        <w:t xml:space="preserve">מכוונת כלפי </w:t>
      </w:r>
      <w:r w:rsidR="00875EB7" w:rsidRPr="001A0B66">
        <w:rPr>
          <w:rFonts w:ascii="FrankRuehl" w:hAnsi="FrankRuehl" w:cs="FrankRuehl"/>
          <w:sz w:val="28"/>
          <w:szCs w:val="28"/>
          <w:rtl/>
        </w:rPr>
        <w:t>עצם השימוש ב</w:t>
      </w:r>
      <w:r w:rsidRPr="001A0B66">
        <w:rPr>
          <w:rFonts w:ascii="FrankRuehl" w:hAnsi="FrankRuehl" w:cs="FrankRuehl"/>
          <w:sz w:val="28"/>
          <w:szCs w:val="28"/>
          <w:rtl/>
        </w:rPr>
        <w:t xml:space="preserve">ראיות חסויות </w:t>
      </w:r>
      <w:r w:rsidR="00D3077E" w:rsidRPr="001A0B66">
        <w:rPr>
          <w:rFonts w:ascii="FrankRuehl" w:hAnsi="FrankRuehl" w:cs="FrankRuehl"/>
          <w:sz w:val="28"/>
          <w:szCs w:val="28"/>
          <w:rtl/>
        </w:rPr>
        <w:t>בענייני הגירה וביטחון</w:t>
      </w:r>
      <w:r w:rsidR="006E5FCA" w:rsidRPr="001A0B66">
        <w:rPr>
          <w:rFonts w:ascii="FrankRuehl" w:hAnsi="FrankRuehl" w:cs="FrankRuehl"/>
          <w:sz w:val="28"/>
          <w:szCs w:val="28"/>
          <w:rtl/>
        </w:rPr>
        <w:t xml:space="preserve">, ואנו </w:t>
      </w:r>
      <w:r w:rsidR="00761C10" w:rsidRPr="001A0B66">
        <w:rPr>
          <w:rFonts w:ascii="FrankRuehl" w:hAnsi="FrankRuehl" w:cs="FrankRuehl"/>
          <w:sz w:val="28"/>
          <w:szCs w:val="28"/>
          <w:rtl/>
        </w:rPr>
        <w:t>כאמור שותפים לה</w:t>
      </w:r>
      <w:r w:rsidR="00381C60" w:rsidRPr="001A0B66">
        <w:rPr>
          <w:rFonts w:ascii="FrankRuehl" w:hAnsi="FrankRuehl" w:cs="FrankRuehl"/>
          <w:sz w:val="28"/>
          <w:szCs w:val="28"/>
          <w:rtl/>
        </w:rPr>
        <w:t>.</w:t>
      </w:r>
      <w:r w:rsidR="00761C10" w:rsidRPr="001A0B66">
        <w:rPr>
          <w:rFonts w:ascii="FrankRuehl" w:hAnsi="FrankRuehl" w:cs="FrankRuehl"/>
          <w:sz w:val="28"/>
          <w:szCs w:val="28"/>
          <w:rtl/>
        </w:rPr>
        <w:t xml:space="preserve"> הפרקליט המיוחד ממתן את הפגיעה בעצור ולא מרפא אותה.</w:t>
      </w:r>
      <w:r w:rsidR="00BC4059" w:rsidRPr="001A0B66">
        <w:rPr>
          <w:rFonts w:ascii="FrankRuehl" w:hAnsi="FrankRuehl" w:cs="FrankRuehl"/>
          <w:sz w:val="28"/>
          <w:szCs w:val="28"/>
          <w:rtl/>
        </w:rPr>
        <w:t xml:space="preserve"> </w:t>
      </w:r>
    </w:p>
    <w:p w14:paraId="40EDB0F8" w14:textId="77777777" w:rsidR="003D16B4" w:rsidRPr="001A0B66" w:rsidRDefault="003D16B4" w:rsidP="00F307FB">
      <w:pPr>
        <w:pStyle w:val="Heading2"/>
        <w:spacing w:line="276" w:lineRule="auto"/>
        <w:rPr>
          <w:rFonts w:ascii="FrankRuehl" w:hAnsi="FrankRuehl" w:cs="FrankRuehl"/>
          <w:sz w:val="28"/>
          <w:szCs w:val="28"/>
        </w:rPr>
      </w:pPr>
      <w:bookmarkStart w:id="53" w:name="_Toc52981441"/>
      <w:bookmarkStart w:id="54" w:name="_Toc52984560"/>
      <w:bookmarkStart w:id="55" w:name="_Toc53124426"/>
      <w:bookmarkStart w:id="56" w:name="_Toc53143377"/>
      <w:r w:rsidRPr="001A0B66">
        <w:rPr>
          <w:rFonts w:ascii="FrankRuehl" w:hAnsi="FrankRuehl" w:cs="FrankRuehl"/>
          <w:sz w:val="28"/>
          <w:szCs w:val="28"/>
          <w:rtl/>
        </w:rPr>
        <w:t xml:space="preserve">איסור </w:t>
      </w:r>
      <w:r w:rsidR="00381C60" w:rsidRPr="001A0B66">
        <w:rPr>
          <w:rFonts w:ascii="FrankRuehl" w:hAnsi="FrankRuehl" w:cs="FrankRuehl"/>
          <w:sz w:val="28"/>
          <w:szCs w:val="28"/>
          <w:rtl/>
        </w:rPr>
        <w:t>על</w:t>
      </w:r>
      <w:r w:rsidRPr="001A0B66">
        <w:rPr>
          <w:rFonts w:ascii="FrankRuehl" w:hAnsi="FrankRuehl" w:cs="FrankRuehl"/>
          <w:sz w:val="28"/>
          <w:szCs w:val="28"/>
          <w:rtl/>
        </w:rPr>
        <w:t xml:space="preserve"> עורך הדין המיוחד </w:t>
      </w:r>
      <w:r w:rsidR="00381C60" w:rsidRPr="001A0B66">
        <w:rPr>
          <w:rFonts w:ascii="FrankRuehl" w:hAnsi="FrankRuehl" w:cs="FrankRuehl"/>
          <w:sz w:val="28"/>
          <w:szCs w:val="28"/>
          <w:rtl/>
        </w:rPr>
        <w:t xml:space="preserve">להיפגש </w:t>
      </w:r>
      <w:r w:rsidRPr="001A0B66">
        <w:rPr>
          <w:rFonts w:ascii="FrankRuehl" w:hAnsi="FrankRuehl" w:cs="FrankRuehl"/>
          <w:sz w:val="28"/>
          <w:szCs w:val="28"/>
          <w:rtl/>
        </w:rPr>
        <w:t xml:space="preserve">עם האדם לאחר </w:t>
      </w:r>
      <w:r w:rsidR="00381C60" w:rsidRPr="001A0B66">
        <w:rPr>
          <w:rFonts w:ascii="FrankRuehl" w:hAnsi="FrankRuehl" w:cs="FrankRuehl"/>
          <w:sz w:val="28"/>
          <w:szCs w:val="28"/>
          <w:rtl/>
        </w:rPr>
        <w:t xml:space="preserve">שנחשף </w:t>
      </w:r>
      <w:r w:rsidRPr="001A0B66">
        <w:rPr>
          <w:rFonts w:ascii="FrankRuehl" w:hAnsi="FrankRuehl" w:cs="FrankRuehl"/>
          <w:sz w:val="28"/>
          <w:szCs w:val="28"/>
          <w:rtl/>
        </w:rPr>
        <w:t xml:space="preserve">לחומר החסוי, </w:t>
      </w:r>
      <w:r w:rsidR="00381C60" w:rsidRPr="001A0B66">
        <w:rPr>
          <w:rFonts w:ascii="FrankRuehl" w:hAnsi="FrankRuehl" w:cs="FrankRuehl"/>
          <w:sz w:val="28"/>
          <w:szCs w:val="28"/>
          <w:rtl/>
        </w:rPr>
        <w:t>ו</w:t>
      </w:r>
      <w:r w:rsidRPr="001A0B66">
        <w:rPr>
          <w:rFonts w:ascii="FrankRuehl" w:hAnsi="FrankRuehl" w:cs="FrankRuehl"/>
          <w:sz w:val="28"/>
          <w:szCs w:val="28"/>
          <w:rtl/>
        </w:rPr>
        <w:t>אפשרות לקבל אישור מיוחד</w:t>
      </w:r>
      <w:r w:rsidR="00FD0ECB" w:rsidRPr="001A0B66">
        <w:rPr>
          <w:rFonts w:ascii="FrankRuehl" w:hAnsi="FrankRuehl" w:cs="FrankRuehl"/>
          <w:sz w:val="28"/>
          <w:szCs w:val="28"/>
          <w:rtl/>
        </w:rPr>
        <w:t xml:space="preserve"> לכך</w:t>
      </w:r>
      <w:r w:rsidRPr="001A0B66">
        <w:rPr>
          <w:rFonts w:ascii="FrankRuehl" w:hAnsi="FrankRuehl" w:cs="FrankRuehl"/>
          <w:sz w:val="28"/>
          <w:szCs w:val="28"/>
          <w:rtl/>
        </w:rPr>
        <w:t xml:space="preserve"> מבית המשפט</w:t>
      </w:r>
      <w:bookmarkEnd w:id="53"/>
      <w:bookmarkEnd w:id="54"/>
      <w:bookmarkEnd w:id="55"/>
      <w:bookmarkEnd w:id="56"/>
    </w:p>
    <w:p w14:paraId="79AAF6ED" w14:textId="77777777" w:rsidR="00FD0ECB" w:rsidRPr="001A0B66" w:rsidRDefault="00381C60"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נפתח </w:t>
      </w:r>
      <w:r w:rsidR="005F50ED" w:rsidRPr="001A0B66">
        <w:rPr>
          <w:rFonts w:ascii="FrankRuehl" w:hAnsi="FrankRuehl" w:cs="FrankRuehl"/>
          <w:sz w:val="28"/>
          <w:szCs w:val="28"/>
          <w:rtl/>
        </w:rPr>
        <w:t>דווקא בנקודה מרכזית של הצעת החוק שהוגשה</w:t>
      </w:r>
      <w:r w:rsidRPr="001A0B66">
        <w:rPr>
          <w:rFonts w:ascii="FrankRuehl" w:hAnsi="FrankRuehl" w:cs="FrankRuehl"/>
          <w:sz w:val="28"/>
          <w:szCs w:val="28"/>
          <w:rtl/>
        </w:rPr>
        <w:t xml:space="preserve"> –</w:t>
      </w:r>
      <w:r w:rsidR="005F50ED" w:rsidRPr="001A0B66">
        <w:rPr>
          <w:rFonts w:ascii="FrankRuehl" w:hAnsi="FrankRuehl" w:cs="FrankRuehl"/>
          <w:sz w:val="28"/>
          <w:szCs w:val="28"/>
          <w:rtl/>
        </w:rPr>
        <w:t xml:space="preserve"> הכרעה מסוימת בדילמה חשובה, שע</w:t>
      </w:r>
      <w:r w:rsidR="00836624" w:rsidRPr="001A0B66">
        <w:rPr>
          <w:rFonts w:ascii="FrankRuehl" w:hAnsi="FrankRuehl" w:cs="FrankRuehl"/>
          <w:sz w:val="28"/>
          <w:szCs w:val="28"/>
          <w:rtl/>
        </w:rPr>
        <w:t>י</w:t>
      </w:r>
      <w:r w:rsidR="005F50ED" w:rsidRPr="001A0B66">
        <w:rPr>
          <w:rFonts w:ascii="FrankRuehl" w:hAnsi="FrankRuehl" w:cs="FrankRuehl"/>
          <w:sz w:val="28"/>
          <w:szCs w:val="28"/>
          <w:rtl/>
        </w:rPr>
        <w:t xml:space="preserve">מה אנו מסכימים. </w:t>
      </w:r>
      <w:r w:rsidRPr="001A0B66">
        <w:rPr>
          <w:rFonts w:ascii="FrankRuehl" w:hAnsi="FrankRuehl" w:cs="FrankRuehl"/>
          <w:sz w:val="28"/>
          <w:szCs w:val="28"/>
          <w:rtl/>
        </w:rPr>
        <w:t>ה</w:t>
      </w:r>
      <w:r w:rsidR="009C792B" w:rsidRPr="001A0B66">
        <w:rPr>
          <w:rFonts w:ascii="FrankRuehl" w:hAnsi="FrankRuehl" w:cs="FrankRuehl"/>
          <w:sz w:val="28"/>
          <w:szCs w:val="28"/>
          <w:rtl/>
        </w:rPr>
        <w:t xml:space="preserve">מכנה </w:t>
      </w:r>
      <w:r w:rsidRPr="001A0B66">
        <w:rPr>
          <w:rFonts w:ascii="FrankRuehl" w:hAnsi="FrankRuehl" w:cs="FrankRuehl"/>
          <w:sz w:val="28"/>
          <w:szCs w:val="28"/>
          <w:rtl/>
        </w:rPr>
        <w:t>ה</w:t>
      </w:r>
      <w:r w:rsidR="009C792B" w:rsidRPr="001A0B66">
        <w:rPr>
          <w:rFonts w:ascii="FrankRuehl" w:hAnsi="FrankRuehl" w:cs="FrankRuehl"/>
          <w:sz w:val="28"/>
          <w:szCs w:val="28"/>
          <w:rtl/>
        </w:rPr>
        <w:t>משותף בין הצעת החוק העומדת בפנינו לבין</w:t>
      </w:r>
      <w:r w:rsidR="00630F90" w:rsidRPr="001A0B66">
        <w:rPr>
          <w:rFonts w:ascii="FrankRuehl" w:hAnsi="FrankRuehl" w:cs="FrankRuehl"/>
          <w:sz w:val="28"/>
          <w:szCs w:val="28"/>
          <w:rtl/>
        </w:rPr>
        <w:t xml:space="preserve"> </w:t>
      </w:r>
      <w:r w:rsidR="009C792B" w:rsidRPr="001A0B66">
        <w:rPr>
          <w:rFonts w:ascii="FrankRuehl" w:hAnsi="FrankRuehl" w:cs="FrankRuehl"/>
          <w:sz w:val="28"/>
          <w:szCs w:val="28"/>
          <w:rtl/>
        </w:rPr>
        <w:t xml:space="preserve">ההסדרים הקיימים בבריטניה, </w:t>
      </w:r>
      <w:r w:rsidRPr="001A0B66">
        <w:rPr>
          <w:rFonts w:ascii="FrankRuehl" w:hAnsi="FrankRuehl" w:cs="FrankRuehl"/>
          <w:sz w:val="28"/>
          <w:szCs w:val="28"/>
          <w:rtl/>
        </w:rPr>
        <w:t>ב</w:t>
      </w:r>
      <w:r w:rsidR="009C792B" w:rsidRPr="001A0B66">
        <w:rPr>
          <w:rFonts w:ascii="FrankRuehl" w:hAnsi="FrankRuehl" w:cs="FrankRuehl"/>
          <w:sz w:val="28"/>
          <w:szCs w:val="28"/>
          <w:rtl/>
        </w:rPr>
        <w:t>קנדה ו</w:t>
      </w:r>
      <w:r w:rsidRPr="001A0B66">
        <w:rPr>
          <w:rFonts w:ascii="FrankRuehl" w:hAnsi="FrankRuehl" w:cs="FrankRuehl"/>
          <w:sz w:val="28"/>
          <w:szCs w:val="28"/>
          <w:rtl/>
        </w:rPr>
        <w:t>ב</w:t>
      </w:r>
      <w:r w:rsidR="009C792B" w:rsidRPr="001A0B66">
        <w:rPr>
          <w:rFonts w:ascii="FrankRuehl" w:hAnsi="FrankRuehl" w:cs="FrankRuehl"/>
          <w:sz w:val="28"/>
          <w:szCs w:val="28"/>
          <w:rtl/>
        </w:rPr>
        <w:t xml:space="preserve">ניו-זילנד הוא </w:t>
      </w:r>
      <w:r w:rsidRPr="001A0B66">
        <w:rPr>
          <w:rFonts w:ascii="FrankRuehl" w:hAnsi="FrankRuehl" w:cs="FrankRuehl"/>
          <w:sz w:val="28"/>
          <w:szCs w:val="28"/>
          <w:rtl/>
        </w:rPr>
        <w:t>ה</w:t>
      </w:r>
      <w:r w:rsidR="009C792B" w:rsidRPr="001A0B66">
        <w:rPr>
          <w:rFonts w:ascii="FrankRuehl" w:hAnsi="FrankRuehl" w:cs="FrankRuehl"/>
          <w:sz w:val="28"/>
          <w:szCs w:val="28"/>
          <w:rtl/>
        </w:rPr>
        <w:t>איסור</w:t>
      </w:r>
      <w:r w:rsidRPr="001A0B66">
        <w:rPr>
          <w:rFonts w:ascii="FrankRuehl" w:hAnsi="FrankRuehl" w:cs="FrankRuehl"/>
          <w:sz w:val="28"/>
          <w:szCs w:val="28"/>
          <w:rtl/>
        </w:rPr>
        <w:t xml:space="preserve"> </w:t>
      </w:r>
      <w:r w:rsidR="009C792B" w:rsidRPr="001A0B66">
        <w:rPr>
          <w:rFonts w:ascii="FrankRuehl" w:hAnsi="FrankRuehl" w:cs="FrankRuehl"/>
          <w:sz w:val="28"/>
          <w:szCs w:val="28"/>
          <w:rtl/>
        </w:rPr>
        <w:t xml:space="preserve">על פגישה בין </w:t>
      </w:r>
      <w:r w:rsidRPr="001A0B66">
        <w:rPr>
          <w:rFonts w:ascii="FrankRuehl" w:hAnsi="FrankRuehl" w:cs="FrankRuehl"/>
          <w:sz w:val="28"/>
          <w:szCs w:val="28"/>
          <w:rtl/>
        </w:rPr>
        <w:t xml:space="preserve">האדם לבין </w:t>
      </w:r>
      <w:r w:rsidR="009C792B" w:rsidRPr="001A0B66">
        <w:rPr>
          <w:rFonts w:ascii="FrankRuehl" w:hAnsi="FrankRuehl" w:cs="FrankRuehl"/>
          <w:sz w:val="28"/>
          <w:szCs w:val="28"/>
          <w:rtl/>
        </w:rPr>
        <w:t>עור</w:t>
      </w:r>
      <w:r w:rsidR="00914F9A" w:rsidRPr="001A0B66">
        <w:rPr>
          <w:rFonts w:ascii="FrankRuehl" w:hAnsi="FrankRuehl" w:cs="FrankRuehl"/>
          <w:sz w:val="28"/>
          <w:szCs w:val="28"/>
          <w:rtl/>
        </w:rPr>
        <w:t>כת</w:t>
      </w:r>
      <w:r w:rsidR="009C792B" w:rsidRPr="001A0B66">
        <w:rPr>
          <w:rFonts w:ascii="FrankRuehl" w:hAnsi="FrankRuehl" w:cs="FrankRuehl"/>
          <w:sz w:val="28"/>
          <w:szCs w:val="28"/>
          <w:rtl/>
        </w:rPr>
        <w:t xml:space="preserve"> הדין המיוחד</w:t>
      </w:r>
      <w:r w:rsidR="00914F9A" w:rsidRPr="001A0B66">
        <w:rPr>
          <w:rFonts w:ascii="FrankRuehl" w:hAnsi="FrankRuehl" w:cs="FrankRuehl"/>
          <w:sz w:val="28"/>
          <w:szCs w:val="28"/>
          <w:rtl/>
        </w:rPr>
        <w:t>ת</w:t>
      </w:r>
      <w:r w:rsidR="009C792B" w:rsidRPr="001A0B66">
        <w:rPr>
          <w:rFonts w:ascii="FrankRuehl" w:hAnsi="FrankRuehl" w:cs="FrankRuehl"/>
          <w:sz w:val="28"/>
          <w:szCs w:val="28"/>
          <w:rtl/>
        </w:rPr>
        <w:t xml:space="preserve"> לאחר </w:t>
      </w:r>
      <w:r w:rsidRPr="001A0B66">
        <w:rPr>
          <w:rFonts w:ascii="FrankRuehl" w:hAnsi="FrankRuehl" w:cs="FrankRuehl"/>
          <w:sz w:val="28"/>
          <w:szCs w:val="28"/>
          <w:rtl/>
        </w:rPr>
        <w:t>ש</w:t>
      </w:r>
      <w:r w:rsidR="009C792B" w:rsidRPr="001A0B66">
        <w:rPr>
          <w:rFonts w:ascii="FrankRuehl" w:hAnsi="FrankRuehl" w:cs="FrankRuehl"/>
          <w:sz w:val="28"/>
          <w:szCs w:val="28"/>
          <w:rtl/>
        </w:rPr>
        <w:t>נחש</w:t>
      </w:r>
      <w:r w:rsidR="00914F9A" w:rsidRPr="001A0B66">
        <w:rPr>
          <w:rFonts w:ascii="FrankRuehl" w:hAnsi="FrankRuehl" w:cs="FrankRuehl"/>
          <w:sz w:val="28"/>
          <w:szCs w:val="28"/>
          <w:rtl/>
        </w:rPr>
        <w:t>פה</w:t>
      </w:r>
      <w:r w:rsidR="009C792B" w:rsidRPr="001A0B66">
        <w:rPr>
          <w:rFonts w:ascii="FrankRuehl" w:hAnsi="FrankRuehl" w:cs="FrankRuehl"/>
          <w:sz w:val="28"/>
          <w:szCs w:val="28"/>
          <w:rtl/>
        </w:rPr>
        <w:t xml:space="preserve"> לחומר החסוי</w:t>
      </w:r>
      <w:r w:rsidRPr="001A0B66">
        <w:rPr>
          <w:rFonts w:ascii="FrankRuehl" w:hAnsi="FrankRuehl" w:cs="FrankRuehl"/>
          <w:sz w:val="28"/>
          <w:szCs w:val="28"/>
          <w:rtl/>
        </w:rPr>
        <w:t>, אלא באישור מיוחד של בית המשפט</w:t>
      </w:r>
      <w:r w:rsidR="009C792B" w:rsidRPr="001A0B66">
        <w:rPr>
          <w:rFonts w:ascii="FrankRuehl" w:hAnsi="FrankRuehl" w:cs="FrankRuehl"/>
          <w:sz w:val="28"/>
          <w:szCs w:val="28"/>
          <w:rtl/>
        </w:rPr>
        <w:t>.</w:t>
      </w:r>
      <w:r w:rsidR="00630F90" w:rsidRPr="001A0B66">
        <w:rPr>
          <w:rStyle w:val="FootnoteReference"/>
          <w:rFonts w:ascii="FrankRuehl" w:hAnsi="FrankRuehl" w:cs="FrankRuehl"/>
          <w:sz w:val="28"/>
          <w:szCs w:val="28"/>
          <w:rtl/>
        </w:rPr>
        <w:footnoteReference w:id="69"/>
      </w:r>
      <w:r w:rsidR="009C792B" w:rsidRPr="001A0B66">
        <w:rPr>
          <w:rFonts w:ascii="FrankRuehl" w:hAnsi="FrankRuehl" w:cs="FrankRuehl"/>
          <w:sz w:val="28"/>
          <w:szCs w:val="28"/>
          <w:rtl/>
        </w:rPr>
        <w:t xml:space="preserve"> החשש הוא פן </w:t>
      </w:r>
      <w:r w:rsidR="00914F9A" w:rsidRPr="001A0B66">
        <w:rPr>
          <w:rFonts w:ascii="FrankRuehl" w:hAnsi="FrankRuehl" w:cs="FrankRuehl"/>
          <w:sz w:val="28"/>
          <w:szCs w:val="28"/>
          <w:rtl/>
        </w:rPr>
        <w:t>היא</w:t>
      </w:r>
      <w:r w:rsidR="00FD0ECB" w:rsidRPr="001A0B66">
        <w:rPr>
          <w:rFonts w:ascii="FrankRuehl" w:hAnsi="FrankRuehl" w:cs="FrankRuehl"/>
          <w:sz w:val="28"/>
          <w:szCs w:val="28"/>
          <w:rtl/>
        </w:rPr>
        <w:t xml:space="preserve"> </w:t>
      </w:r>
      <w:r w:rsidR="00914F9A" w:rsidRPr="001A0B66">
        <w:rPr>
          <w:rFonts w:ascii="FrankRuehl" w:hAnsi="FrankRuehl" w:cs="FrankRuehl"/>
          <w:sz w:val="28"/>
          <w:szCs w:val="28"/>
          <w:rtl/>
        </w:rPr>
        <w:t>ת</w:t>
      </w:r>
      <w:r w:rsidR="009C792B" w:rsidRPr="001A0B66">
        <w:rPr>
          <w:rFonts w:ascii="FrankRuehl" w:hAnsi="FrankRuehl" w:cs="FrankRuehl"/>
          <w:sz w:val="28"/>
          <w:szCs w:val="28"/>
          <w:rtl/>
        </w:rPr>
        <w:t>חשוף</w:t>
      </w:r>
      <w:r w:rsidRPr="001A0B66">
        <w:rPr>
          <w:rFonts w:ascii="FrankRuehl" w:hAnsi="FrankRuehl" w:cs="FrankRuehl"/>
          <w:sz w:val="28"/>
          <w:szCs w:val="28"/>
          <w:rtl/>
        </w:rPr>
        <w:t xml:space="preserve"> פרטים מתוך החומר</w:t>
      </w:r>
      <w:r w:rsidR="009C792B" w:rsidRPr="001A0B66">
        <w:rPr>
          <w:rFonts w:ascii="FrankRuehl" w:hAnsi="FrankRuehl" w:cs="FrankRuehl"/>
          <w:sz w:val="28"/>
          <w:szCs w:val="28"/>
          <w:rtl/>
        </w:rPr>
        <w:t xml:space="preserve"> גם שלא ביודעין. על פי סעיף 4(ו) להצעת החוק </w:t>
      </w:r>
      <w:r w:rsidR="00914F9A" w:rsidRPr="001A0B66">
        <w:rPr>
          <w:rFonts w:ascii="FrankRuehl" w:hAnsi="FrankRuehl" w:cs="FrankRuehl"/>
          <w:sz w:val="28"/>
          <w:szCs w:val="28"/>
          <w:rtl/>
        </w:rPr>
        <w:t>ת</w:t>
      </w:r>
      <w:r w:rsidR="009C792B" w:rsidRPr="001A0B66">
        <w:rPr>
          <w:rFonts w:ascii="FrankRuehl" w:hAnsi="FrankRuehl" w:cs="FrankRuehl"/>
          <w:sz w:val="28"/>
          <w:szCs w:val="28"/>
          <w:rtl/>
        </w:rPr>
        <w:t>וכל עור</w:t>
      </w:r>
      <w:r w:rsidR="001650BC" w:rsidRPr="001A0B66">
        <w:rPr>
          <w:rFonts w:ascii="FrankRuehl" w:hAnsi="FrankRuehl" w:cs="FrankRuehl"/>
          <w:sz w:val="28"/>
          <w:szCs w:val="28"/>
          <w:rtl/>
        </w:rPr>
        <w:t>כת</w:t>
      </w:r>
      <w:r w:rsidR="009C792B" w:rsidRPr="001A0B66">
        <w:rPr>
          <w:rFonts w:ascii="FrankRuehl" w:hAnsi="FrankRuehl" w:cs="FrankRuehl"/>
          <w:sz w:val="28"/>
          <w:szCs w:val="28"/>
          <w:rtl/>
        </w:rPr>
        <w:t xml:space="preserve"> הדין המיוחד</w:t>
      </w:r>
      <w:r w:rsidR="001650BC" w:rsidRPr="001A0B66">
        <w:rPr>
          <w:rFonts w:ascii="FrankRuehl" w:hAnsi="FrankRuehl" w:cs="FrankRuehl"/>
          <w:sz w:val="28"/>
          <w:szCs w:val="28"/>
          <w:rtl/>
        </w:rPr>
        <w:t>ת</w:t>
      </w:r>
      <w:r w:rsidR="009C792B" w:rsidRPr="001A0B66">
        <w:rPr>
          <w:rFonts w:ascii="FrankRuehl" w:hAnsi="FrankRuehl" w:cs="FrankRuehl"/>
          <w:sz w:val="28"/>
          <w:szCs w:val="28"/>
          <w:rtl/>
        </w:rPr>
        <w:t xml:space="preserve"> לבקש מבית המשפט אישור </w:t>
      </w:r>
      <w:r w:rsidR="00685796" w:rsidRPr="001A0B66">
        <w:rPr>
          <w:rFonts w:ascii="FrankRuehl" w:hAnsi="FrankRuehl" w:cs="FrankRuehl"/>
          <w:sz w:val="28"/>
          <w:szCs w:val="28"/>
          <w:rtl/>
        </w:rPr>
        <w:t xml:space="preserve">להיפגש </w:t>
      </w:r>
      <w:r w:rsidR="009C792B" w:rsidRPr="001A0B66">
        <w:rPr>
          <w:rFonts w:ascii="FrankRuehl" w:hAnsi="FrankRuehl" w:cs="FrankRuehl"/>
          <w:sz w:val="28"/>
          <w:szCs w:val="28"/>
          <w:rtl/>
        </w:rPr>
        <w:t xml:space="preserve">עם האדם גם </w:t>
      </w:r>
      <w:r w:rsidRPr="001A0B66">
        <w:rPr>
          <w:rFonts w:ascii="FrankRuehl" w:hAnsi="FrankRuehl" w:cs="FrankRuehl"/>
          <w:sz w:val="28"/>
          <w:szCs w:val="28"/>
          <w:rtl/>
        </w:rPr>
        <w:t>ל</w:t>
      </w:r>
      <w:r w:rsidR="009C792B" w:rsidRPr="001A0B66">
        <w:rPr>
          <w:rFonts w:ascii="FrankRuehl" w:hAnsi="FrankRuehl" w:cs="FrankRuehl"/>
          <w:sz w:val="28"/>
          <w:szCs w:val="28"/>
          <w:rtl/>
        </w:rPr>
        <w:t>אחר שנחש</w:t>
      </w:r>
      <w:r w:rsidR="001650BC" w:rsidRPr="001A0B66">
        <w:rPr>
          <w:rFonts w:ascii="FrankRuehl" w:hAnsi="FrankRuehl" w:cs="FrankRuehl"/>
          <w:sz w:val="28"/>
          <w:szCs w:val="28"/>
          <w:rtl/>
        </w:rPr>
        <w:t>פה</w:t>
      </w:r>
      <w:r w:rsidR="009C792B" w:rsidRPr="001A0B66">
        <w:rPr>
          <w:rFonts w:ascii="FrankRuehl" w:hAnsi="FrankRuehl" w:cs="FrankRuehl"/>
          <w:sz w:val="28"/>
          <w:szCs w:val="28"/>
          <w:rtl/>
        </w:rPr>
        <w:t xml:space="preserve"> לחומר החסוי</w:t>
      </w:r>
      <w:r w:rsidR="00FD0ECB" w:rsidRPr="001A0B66">
        <w:rPr>
          <w:rFonts w:ascii="FrankRuehl" w:hAnsi="FrankRuehl" w:cs="FrankRuehl"/>
          <w:sz w:val="28"/>
          <w:szCs w:val="28"/>
          <w:rtl/>
        </w:rPr>
        <w:t xml:space="preserve">. מימוש אפשרות זו תלוי בגישתו של בית המשפט שבפניו </w:t>
      </w:r>
      <w:r w:rsidR="006E59D0" w:rsidRPr="001A0B66">
        <w:rPr>
          <w:rFonts w:ascii="FrankRuehl" w:hAnsi="FrankRuehl" w:cs="FrankRuehl"/>
          <w:sz w:val="28"/>
          <w:szCs w:val="28"/>
          <w:rtl/>
        </w:rPr>
        <w:t xml:space="preserve">נדונה </w:t>
      </w:r>
      <w:r w:rsidR="00FD0ECB" w:rsidRPr="001A0B66">
        <w:rPr>
          <w:rFonts w:ascii="FrankRuehl" w:hAnsi="FrankRuehl" w:cs="FrankRuehl"/>
          <w:sz w:val="28"/>
          <w:szCs w:val="28"/>
          <w:rtl/>
        </w:rPr>
        <w:t xml:space="preserve">בקשה </w:t>
      </w:r>
      <w:r w:rsidR="006E59D0" w:rsidRPr="001A0B66">
        <w:rPr>
          <w:rFonts w:ascii="FrankRuehl" w:hAnsi="FrankRuehl" w:cs="FrankRuehl"/>
          <w:sz w:val="28"/>
          <w:szCs w:val="28"/>
          <w:rtl/>
        </w:rPr>
        <w:t>שכזו</w:t>
      </w:r>
      <w:r w:rsidR="00FD0ECB" w:rsidRPr="001A0B66">
        <w:rPr>
          <w:rFonts w:ascii="FrankRuehl" w:hAnsi="FrankRuehl" w:cs="FrankRuehl"/>
          <w:sz w:val="28"/>
          <w:szCs w:val="28"/>
          <w:rtl/>
        </w:rPr>
        <w:t xml:space="preserve"> </w:t>
      </w:r>
      <w:r w:rsidR="00844CB1" w:rsidRPr="001A0B66">
        <w:rPr>
          <w:rFonts w:ascii="FrankRuehl" w:hAnsi="FrankRuehl" w:cs="FrankRuehl"/>
          <w:sz w:val="28"/>
          <w:szCs w:val="28"/>
          <w:rtl/>
        </w:rPr>
        <w:t>ו</w:t>
      </w:r>
      <w:r w:rsidR="00FD0ECB" w:rsidRPr="001A0B66">
        <w:rPr>
          <w:rFonts w:ascii="FrankRuehl" w:hAnsi="FrankRuehl" w:cs="FrankRuehl"/>
          <w:sz w:val="28"/>
          <w:szCs w:val="28"/>
          <w:rtl/>
        </w:rPr>
        <w:t>ביחסי האמון בין בית המשפט לבין עור</w:t>
      </w:r>
      <w:r w:rsidR="001650BC" w:rsidRPr="001A0B66">
        <w:rPr>
          <w:rFonts w:ascii="FrankRuehl" w:hAnsi="FrankRuehl" w:cs="FrankRuehl"/>
          <w:sz w:val="28"/>
          <w:szCs w:val="28"/>
          <w:rtl/>
        </w:rPr>
        <w:t>כת</w:t>
      </w:r>
      <w:r w:rsidR="00FD0ECB" w:rsidRPr="001A0B66">
        <w:rPr>
          <w:rFonts w:ascii="FrankRuehl" w:hAnsi="FrankRuehl" w:cs="FrankRuehl"/>
          <w:sz w:val="28"/>
          <w:szCs w:val="28"/>
          <w:rtl/>
        </w:rPr>
        <w:t xml:space="preserve"> הדין המיוחד</w:t>
      </w:r>
      <w:r w:rsidR="001650BC" w:rsidRPr="001A0B66">
        <w:rPr>
          <w:rFonts w:ascii="FrankRuehl" w:hAnsi="FrankRuehl" w:cs="FrankRuehl"/>
          <w:sz w:val="28"/>
          <w:szCs w:val="28"/>
          <w:rtl/>
        </w:rPr>
        <w:t>ת</w:t>
      </w:r>
      <w:r w:rsidR="00FD0ECB" w:rsidRPr="001A0B66">
        <w:rPr>
          <w:rFonts w:ascii="FrankRuehl" w:hAnsi="FrankRuehl" w:cs="FrankRuehl"/>
          <w:sz w:val="28"/>
          <w:szCs w:val="28"/>
          <w:rtl/>
        </w:rPr>
        <w:t xml:space="preserve">. </w:t>
      </w:r>
    </w:p>
    <w:p w14:paraId="2ECFE453" w14:textId="77777777" w:rsidR="00935316" w:rsidRPr="001A0B66" w:rsidRDefault="009C792B"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ג'ון </w:t>
      </w:r>
      <w:proofErr w:type="spellStart"/>
      <w:r w:rsidRPr="001A0B66">
        <w:rPr>
          <w:rFonts w:ascii="FrankRuehl" w:hAnsi="FrankRuehl" w:cs="FrankRuehl"/>
          <w:sz w:val="28"/>
          <w:szCs w:val="28"/>
          <w:rtl/>
        </w:rPr>
        <w:t>איפ</w:t>
      </w:r>
      <w:proofErr w:type="spellEnd"/>
      <w:r w:rsidR="00844CB1" w:rsidRPr="001A0B66">
        <w:rPr>
          <w:rFonts w:ascii="FrankRuehl" w:hAnsi="FrankRuehl" w:cs="FrankRuehl"/>
          <w:sz w:val="28"/>
          <w:szCs w:val="28"/>
          <w:rtl/>
        </w:rPr>
        <w:t xml:space="preserve"> (</w:t>
      </w:r>
      <w:r w:rsidR="00844CB1" w:rsidRPr="001A0B66">
        <w:rPr>
          <w:rFonts w:ascii="FrankRuehl" w:hAnsi="FrankRuehl" w:cs="FrankRuehl"/>
          <w:sz w:val="28"/>
          <w:szCs w:val="28"/>
        </w:rPr>
        <w:t>Ip</w:t>
      </w:r>
      <w:r w:rsidR="00844CB1" w:rsidRPr="001A0B66">
        <w:rPr>
          <w:rFonts w:ascii="FrankRuehl" w:hAnsi="FrankRuehl" w:cs="FrankRuehl"/>
          <w:sz w:val="28"/>
          <w:szCs w:val="28"/>
          <w:rtl/>
        </w:rPr>
        <w:t>)</w:t>
      </w:r>
      <w:r w:rsidRPr="001A0B66">
        <w:rPr>
          <w:rFonts w:ascii="FrankRuehl" w:hAnsi="FrankRuehl" w:cs="FrankRuehl"/>
          <w:sz w:val="28"/>
          <w:szCs w:val="28"/>
          <w:rtl/>
        </w:rPr>
        <w:t xml:space="preserve"> כותב שהניסיון הבריטי מלמד </w:t>
      </w:r>
      <w:r w:rsidR="00844CB1" w:rsidRPr="001A0B66">
        <w:rPr>
          <w:rFonts w:ascii="FrankRuehl" w:hAnsi="FrankRuehl" w:cs="FrankRuehl"/>
          <w:sz w:val="28"/>
          <w:szCs w:val="28"/>
          <w:rtl/>
        </w:rPr>
        <w:t xml:space="preserve">כי </w:t>
      </w:r>
      <w:r w:rsidRPr="001A0B66">
        <w:rPr>
          <w:rFonts w:ascii="FrankRuehl" w:hAnsi="FrankRuehl" w:cs="FrankRuehl"/>
          <w:sz w:val="28"/>
          <w:szCs w:val="28"/>
          <w:rtl/>
        </w:rPr>
        <w:t xml:space="preserve">גם בהתקיים מנגנון אישור כזה, הוא היה מאותגר לרוב </w:t>
      </w:r>
      <w:r w:rsidR="00420082" w:rsidRPr="001A0B66">
        <w:rPr>
          <w:rFonts w:ascii="FrankRuehl" w:hAnsi="FrankRuehl" w:cs="FrankRuehl"/>
          <w:sz w:val="28"/>
          <w:szCs w:val="28"/>
          <w:rtl/>
        </w:rPr>
        <w:t xml:space="preserve">בערעור </w:t>
      </w:r>
      <w:r w:rsidRPr="001A0B66">
        <w:rPr>
          <w:rFonts w:ascii="FrankRuehl" w:hAnsi="FrankRuehl" w:cs="FrankRuehl"/>
          <w:sz w:val="28"/>
          <w:szCs w:val="28"/>
          <w:rtl/>
        </w:rPr>
        <w:t>על ידי השר המוסמך (</w:t>
      </w:r>
      <w:r w:rsidRPr="001A0B66">
        <w:rPr>
          <w:rFonts w:ascii="FrankRuehl" w:hAnsi="FrankRuehl" w:cs="FrankRuehl"/>
          <w:sz w:val="28"/>
          <w:szCs w:val="28"/>
        </w:rPr>
        <w:t xml:space="preserve">Home </w:t>
      </w:r>
      <w:r w:rsidR="009F0EBA" w:rsidRPr="001A0B66">
        <w:rPr>
          <w:rFonts w:ascii="FrankRuehl" w:hAnsi="FrankRuehl" w:cs="FrankRuehl"/>
          <w:sz w:val="28"/>
          <w:szCs w:val="28"/>
        </w:rPr>
        <w:t>Secretary</w:t>
      </w:r>
      <w:r w:rsidRPr="001A0B66">
        <w:rPr>
          <w:rFonts w:ascii="FrankRuehl" w:hAnsi="FrankRuehl" w:cs="FrankRuehl"/>
          <w:sz w:val="28"/>
          <w:szCs w:val="28"/>
          <w:rtl/>
        </w:rPr>
        <w:t>), וברוב</w:t>
      </w:r>
      <w:r w:rsidRPr="001A0B66">
        <w:rPr>
          <w:rFonts w:ascii="FrankRuehl" w:hAnsi="FrankRuehl" w:cs="FrankRuehl"/>
          <w:sz w:val="28"/>
          <w:szCs w:val="28"/>
        </w:rPr>
        <w:t xml:space="preserve"> </w:t>
      </w:r>
      <w:r w:rsidRPr="001A0B66">
        <w:rPr>
          <w:rFonts w:ascii="FrankRuehl" w:hAnsi="FrankRuehl" w:cs="FrankRuehl"/>
          <w:sz w:val="28"/>
          <w:szCs w:val="28"/>
          <w:rtl/>
        </w:rPr>
        <w:t xml:space="preserve">המקרים </w:t>
      </w:r>
      <w:r w:rsidR="00844CB1" w:rsidRPr="001A0B66">
        <w:rPr>
          <w:rFonts w:ascii="FrankRuehl" w:hAnsi="FrankRuehl" w:cs="FrankRuehl"/>
          <w:sz w:val="28"/>
          <w:szCs w:val="28"/>
          <w:rtl/>
        </w:rPr>
        <w:t xml:space="preserve">קיבל בית </w:t>
      </w:r>
      <w:r w:rsidR="00844CB1" w:rsidRPr="001A0B66">
        <w:rPr>
          <w:rFonts w:ascii="FrankRuehl" w:hAnsi="FrankRuehl" w:cs="FrankRuehl"/>
          <w:sz w:val="28"/>
          <w:szCs w:val="28"/>
          <w:rtl/>
        </w:rPr>
        <w:lastRenderedPageBreak/>
        <w:t xml:space="preserve">המשפט את </w:t>
      </w:r>
      <w:r w:rsidRPr="001A0B66">
        <w:rPr>
          <w:rFonts w:ascii="FrankRuehl" w:hAnsi="FrankRuehl" w:cs="FrankRuehl"/>
          <w:sz w:val="28"/>
          <w:szCs w:val="28"/>
          <w:rtl/>
        </w:rPr>
        <w:t>עמדת השר והתקשורת נאסרה בפועל.</w:t>
      </w:r>
      <w:bookmarkStart w:id="57" w:name="_Hlk41508919"/>
      <w:r w:rsidRPr="001A0B66">
        <w:rPr>
          <w:rStyle w:val="FootnoteReference"/>
          <w:rFonts w:ascii="FrankRuehl" w:hAnsi="FrankRuehl" w:cs="FrankRuehl"/>
          <w:sz w:val="28"/>
          <w:szCs w:val="28"/>
          <w:rtl/>
        </w:rPr>
        <w:footnoteReference w:id="70"/>
      </w:r>
      <w:bookmarkEnd w:id="57"/>
      <w:r w:rsidRPr="001A0B66">
        <w:rPr>
          <w:rFonts w:ascii="FrankRuehl" w:hAnsi="FrankRuehl" w:cs="FrankRuehl"/>
          <w:sz w:val="28"/>
          <w:szCs w:val="28"/>
          <w:rtl/>
        </w:rPr>
        <w:t xml:space="preserve"> אכן, עורכי הדין המיוחדים באנגליה מדווחים </w:t>
      </w:r>
      <w:r w:rsidR="00420082" w:rsidRPr="001A0B66">
        <w:rPr>
          <w:rFonts w:ascii="FrankRuehl" w:hAnsi="FrankRuehl" w:cs="FrankRuehl"/>
          <w:sz w:val="28"/>
          <w:szCs w:val="28"/>
          <w:rtl/>
        </w:rPr>
        <w:t xml:space="preserve">כאמור </w:t>
      </w:r>
      <w:r w:rsidRPr="001A0B66">
        <w:rPr>
          <w:rFonts w:ascii="FrankRuehl" w:hAnsi="FrankRuehl" w:cs="FrankRuehl"/>
          <w:sz w:val="28"/>
          <w:szCs w:val="28"/>
          <w:rtl/>
        </w:rPr>
        <w:t>על תסכול רב בהקשר זה.</w:t>
      </w:r>
      <w:r w:rsidRPr="001A0B66">
        <w:rPr>
          <w:rStyle w:val="FootnoteReference"/>
          <w:rFonts w:ascii="FrankRuehl" w:hAnsi="FrankRuehl" w:cs="FrankRuehl"/>
          <w:sz w:val="28"/>
          <w:szCs w:val="28"/>
          <w:rtl/>
        </w:rPr>
        <w:footnoteReference w:id="71"/>
      </w:r>
      <w:r w:rsidRPr="001A0B66">
        <w:rPr>
          <w:rFonts w:ascii="FrankRuehl" w:hAnsi="FrankRuehl" w:cs="FrankRuehl"/>
          <w:sz w:val="28"/>
          <w:szCs w:val="28"/>
          <w:rtl/>
        </w:rPr>
        <w:t xml:space="preserve"> ביקורת זו היא גם נחלתם של אחרים, הממליצים </w:t>
      </w:r>
      <w:r w:rsidR="00935316" w:rsidRPr="001A0B66">
        <w:rPr>
          <w:rFonts w:ascii="FrankRuehl" w:hAnsi="FrankRuehl" w:cs="FrankRuehl"/>
          <w:sz w:val="28"/>
          <w:szCs w:val="28"/>
          <w:rtl/>
        </w:rPr>
        <w:t>ל</w:t>
      </w:r>
      <w:r w:rsidRPr="001A0B66">
        <w:rPr>
          <w:rFonts w:ascii="FrankRuehl" w:hAnsi="FrankRuehl" w:cs="FrankRuehl"/>
          <w:sz w:val="28"/>
          <w:szCs w:val="28"/>
          <w:rtl/>
        </w:rPr>
        <w:t xml:space="preserve">אפשר מפגש בין עורך הדין המיוחד לבין האדם גם לאחר </w:t>
      </w:r>
      <w:r w:rsidR="00935316" w:rsidRPr="001A0B66">
        <w:rPr>
          <w:rFonts w:ascii="FrankRuehl" w:hAnsi="FrankRuehl" w:cs="FrankRuehl"/>
          <w:sz w:val="28"/>
          <w:szCs w:val="28"/>
          <w:rtl/>
        </w:rPr>
        <w:t xml:space="preserve">שנחשף </w:t>
      </w:r>
      <w:r w:rsidRPr="001A0B66">
        <w:rPr>
          <w:rFonts w:ascii="FrankRuehl" w:hAnsi="FrankRuehl" w:cs="FrankRuehl"/>
          <w:sz w:val="28"/>
          <w:szCs w:val="28"/>
          <w:rtl/>
        </w:rPr>
        <w:t>לחומר החסוי</w:t>
      </w:r>
      <w:r w:rsidR="007D2122" w:rsidRPr="001A0B66">
        <w:rPr>
          <w:rFonts w:ascii="FrankRuehl" w:hAnsi="FrankRuehl" w:cs="FrankRuehl"/>
          <w:sz w:val="28"/>
          <w:szCs w:val="28"/>
          <w:rtl/>
        </w:rPr>
        <w:t xml:space="preserve"> </w:t>
      </w:r>
      <w:r w:rsidR="00935316" w:rsidRPr="001A0B66">
        <w:rPr>
          <w:rFonts w:ascii="FrankRuehl" w:hAnsi="FrankRuehl" w:cs="FrankRuehl"/>
          <w:sz w:val="28"/>
          <w:szCs w:val="28"/>
          <w:rtl/>
        </w:rPr>
        <w:t>ו</w:t>
      </w:r>
      <w:r w:rsidR="007D2122" w:rsidRPr="001A0B66">
        <w:rPr>
          <w:rFonts w:ascii="FrankRuehl" w:hAnsi="FrankRuehl" w:cs="FrankRuehl"/>
          <w:sz w:val="28"/>
          <w:szCs w:val="28"/>
          <w:rtl/>
        </w:rPr>
        <w:t>ללא צורך באישור בית המשפט</w:t>
      </w:r>
      <w:r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72"/>
      </w:r>
      <w:r w:rsidR="00935316" w:rsidRPr="001A0B66">
        <w:rPr>
          <w:rFonts w:ascii="FrankRuehl" w:hAnsi="FrankRuehl" w:cs="FrankRuehl"/>
          <w:sz w:val="28"/>
          <w:szCs w:val="28"/>
          <w:rtl/>
        </w:rPr>
        <w:t xml:space="preserve"> </w:t>
      </w:r>
      <w:r w:rsidR="007478A5" w:rsidRPr="001A0B66">
        <w:rPr>
          <w:rFonts w:ascii="FrankRuehl" w:hAnsi="FrankRuehl" w:cs="FrankRuehl"/>
          <w:sz w:val="28"/>
          <w:szCs w:val="28"/>
          <w:rtl/>
        </w:rPr>
        <w:t>טענת המבקרים היא כי האפקטיביות של הסדר עורכי הדין המיוחדים</w:t>
      </w:r>
      <w:r w:rsidR="006D3D8B" w:rsidRPr="001A0B66">
        <w:rPr>
          <w:rFonts w:ascii="FrankRuehl" w:hAnsi="FrankRuehl" w:cs="FrankRuehl"/>
          <w:sz w:val="28"/>
          <w:szCs w:val="28"/>
          <w:rtl/>
        </w:rPr>
        <w:t xml:space="preserve"> תיגרע מאוד</w:t>
      </w:r>
      <w:r w:rsidR="007478A5" w:rsidRPr="001A0B66">
        <w:rPr>
          <w:rFonts w:ascii="FrankRuehl" w:hAnsi="FrankRuehl" w:cs="FrankRuehl"/>
          <w:sz w:val="28"/>
          <w:szCs w:val="28"/>
          <w:rtl/>
        </w:rPr>
        <w:t xml:space="preserve"> אם עורך הדין המיוחד לא יורשה להיות בקשר שוטף עם לקוחו לאורך ההליך כולו, כולל </w:t>
      </w:r>
      <w:r w:rsidR="00992913" w:rsidRPr="001A0B66">
        <w:rPr>
          <w:rFonts w:ascii="FrankRuehl" w:hAnsi="FrankRuehl" w:cs="FrankRuehl"/>
          <w:sz w:val="28"/>
          <w:szCs w:val="28"/>
          <w:rtl/>
        </w:rPr>
        <w:t>(</w:t>
      </w:r>
      <w:r w:rsidR="007478A5" w:rsidRPr="001A0B66">
        <w:rPr>
          <w:rFonts w:ascii="FrankRuehl" w:hAnsi="FrankRuehl" w:cs="FrankRuehl"/>
          <w:sz w:val="28"/>
          <w:szCs w:val="28"/>
          <w:rtl/>
        </w:rPr>
        <w:t>ואולי בעיקר</w:t>
      </w:r>
      <w:r w:rsidR="00992913" w:rsidRPr="001A0B66">
        <w:rPr>
          <w:rFonts w:ascii="FrankRuehl" w:hAnsi="FrankRuehl" w:cs="FrankRuehl"/>
          <w:sz w:val="28"/>
          <w:szCs w:val="28"/>
          <w:rtl/>
        </w:rPr>
        <w:t>)</w:t>
      </w:r>
      <w:r w:rsidR="007478A5" w:rsidRPr="001A0B66">
        <w:rPr>
          <w:rFonts w:ascii="FrankRuehl" w:hAnsi="FrankRuehl" w:cs="FrankRuehl"/>
          <w:sz w:val="28"/>
          <w:szCs w:val="28"/>
          <w:rtl/>
        </w:rPr>
        <w:t xml:space="preserve"> לאחר </w:t>
      </w:r>
      <w:r w:rsidR="0071593E" w:rsidRPr="001A0B66">
        <w:rPr>
          <w:rFonts w:ascii="FrankRuehl" w:hAnsi="FrankRuehl" w:cs="FrankRuehl"/>
          <w:sz w:val="28"/>
          <w:szCs w:val="28"/>
          <w:rtl/>
        </w:rPr>
        <w:t>ש</w:t>
      </w:r>
      <w:r w:rsidR="007478A5" w:rsidRPr="001A0B66">
        <w:rPr>
          <w:rFonts w:ascii="FrankRuehl" w:hAnsi="FrankRuehl" w:cs="FrankRuehl"/>
          <w:sz w:val="28"/>
          <w:szCs w:val="28"/>
          <w:rtl/>
        </w:rPr>
        <w:t xml:space="preserve">נחשף לראיות המוחזקות נגד האדם. </w:t>
      </w:r>
    </w:p>
    <w:p w14:paraId="7877124D" w14:textId="77777777" w:rsidR="00770D69" w:rsidRPr="00770D69" w:rsidRDefault="00935316" w:rsidP="00770D69">
      <w:pPr>
        <w:pStyle w:val="a0"/>
        <w:spacing w:line="276" w:lineRule="auto"/>
        <w:rPr>
          <w:rFonts w:ascii="FrankRuehl" w:hAnsi="FrankRuehl" w:cs="FrankRuehl"/>
          <w:sz w:val="28"/>
          <w:szCs w:val="28"/>
        </w:rPr>
      </w:pPr>
      <w:r w:rsidRPr="001A0B66">
        <w:rPr>
          <w:rFonts w:ascii="FrankRuehl" w:hAnsi="FrankRuehl" w:cs="FrankRuehl"/>
          <w:sz w:val="28"/>
          <w:szCs w:val="28"/>
          <w:rtl/>
        </w:rPr>
        <w:t xml:space="preserve">לאחר התלבטות אנו ממליצים לוותר בנקודה זו. </w:t>
      </w:r>
      <w:r w:rsidR="00487E7C">
        <w:rPr>
          <w:rFonts w:ascii="FrankRuehl" w:hAnsi="FrankRuehl" w:cs="FrankRuehl"/>
          <w:sz w:val="28"/>
          <w:szCs w:val="28"/>
          <w:rtl/>
        </w:rPr>
        <w:t xml:space="preserve">הנה טעמינו לכך. כפי שציינו בפתח הדברים, </w:t>
      </w:r>
      <w:r w:rsidR="00770D69" w:rsidRPr="00770D69">
        <w:rPr>
          <w:rFonts w:ascii="FrankRuehl" w:hAnsi="FrankRuehl" w:cs="FrankRuehl"/>
          <w:sz w:val="28"/>
          <w:szCs w:val="28"/>
          <w:rtl/>
        </w:rPr>
        <w:t xml:space="preserve">אנו מתנגדים למעצר </w:t>
      </w:r>
      <w:proofErr w:type="spellStart"/>
      <w:r w:rsidR="00770D69" w:rsidRPr="00770D69">
        <w:rPr>
          <w:rFonts w:ascii="FrankRuehl" w:hAnsi="FrankRuehl" w:cs="FrankRuehl"/>
          <w:sz w:val="28"/>
          <w:szCs w:val="28"/>
          <w:rtl/>
        </w:rPr>
        <w:t>המינהלי</w:t>
      </w:r>
      <w:proofErr w:type="spellEnd"/>
      <w:r w:rsidR="00770D69" w:rsidRPr="00770D69">
        <w:rPr>
          <w:rFonts w:ascii="FrankRuehl" w:hAnsi="FrankRuehl" w:cs="FrankRuehl"/>
          <w:sz w:val="28"/>
          <w:szCs w:val="28"/>
          <w:rtl/>
        </w:rPr>
        <w:t xml:space="preserve"> </w:t>
      </w:r>
      <w:proofErr w:type="spellStart"/>
      <w:r w:rsidR="00770D69" w:rsidRPr="00770D69">
        <w:rPr>
          <w:rFonts w:ascii="FrankRuehl" w:hAnsi="FrankRuehl" w:cs="FrankRuehl"/>
          <w:sz w:val="28"/>
          <w:szCs w:val="28"/>
          <w:rtl/>
        </w:rPr>
        <w:t>מדעיקרה</w:t>
      </w:r>
      <w:proofErr w:type="spellEnd"/>
      <w:r w:rsidR="00770D69" w:rsidRPr="00770D69">
        <w:rPr>
          <w:rFonts w:ascii="FrankRuehl" w:hAnsi="FrankRuehl" w:cs="FrankRuehl"/>
          <w:sz w:val="28"/>
          <w:szCs w:val="28"/>
          <w:rtl/>
        </w:rPr>
        <w:t xml:space="preserve">, אלא שאחרי שנים ארוכות של התנגדות, עקרה במישור המעשי, ויתרנו. </w:t>
      </w:r>
      <w:r w:rsidR="00487E7C">
        <w:rPr>
          <w:rFonts w:ascii="FrankRuehl" w:hAnsi="FrankRuehl" w:cs="FrankRuehl"/>
          <w:sz w:val="28"/>
          <w:szCs w:val="28"/>
          <w:rtl/>
        </w:rPr>
        <w:t xml:space="preserve">המפורט בעמודים אלו הוא </w:t>
      </w:r>
      <w:r w:rsidR="00770D69" w:rsidRPr="00770D69">
        <w:rPr>
          <w:rFonts w:ascii="FrankRuehl" w:hAnsi="FrankRuehl" w:cs="FrankRuehl"/>
          <w:sz w:val="28"/>
          <w:szCs w:val="28"/>
          <w:rtl/>
        </w:rPr>
        <w:t xml:space="preserve">הצעת חוק לחברה הישראלית, </w:t>
      </w:r>
      <w:r w:rsidR="00487E7C">
        <w:rPr>
          <w:rFonts w:ascii="FrankRuehl" w:hAnsi="FrankRuehl" w:cs="FrankRuehl"/>
          <w:sz w:val="28"/>
          <w:szCs w:val="28"/>
          <w:rtl/>
        </w:rPr>
        <w:t>ש</w:t>
      </w:r>
      <w:r w:rsidR="00770D69" w:rsidRPr="00770D69">
        <w:rPr>
          <w:rFonts w:ascii="FrankRuehl" w:hAnsi="FrankRuehl" w:cs="FrankRuehl"/>
          <w:sz w:val="28"/>
          <w:szCs w:val="28"/>
          <w:rtl/>
        </w:rPr>
        <w:t xml:space="preserve">מרכיביה </w:t>
      </w:r>
      <w:r w:rsidR="00487E7C">
        <w:rPr>
          <w:rFonts w:ascii="FrankRuehl" w:hAnsi="FrankRuehl" w:cs="FrankRuehl"/>
          <w:sz w:val="28"/>
          <w:szCs w:val="28"/>
          <w:rtl/>
        </w:rPr>
        <w:t>מתחשבים ב</w:t>
      </w:r>
      <w:r w:rsidR="00770D69" w:rsidRPr="00770D69">
        <w:rPr>
          <w:rFonts w:ascii="FrankRuehl" w:hAnsi="FrankRuehl" w:cs="FrankRuehl"/>
          <w:sz w:val="28"/>
          <w:szCs w:val="28"/>
          <w:rtl/>
        </w:rPr>
        <w:t>הנחות</w:t>
      </w:r>
      <w:r w:rsidR="00487E7C">
        <w:rPr>
          <w:rFonts w:ascii="FrankRuehl" w:hAnsi="FrankRuehl" w:cs="FrankRuehl"/>
          <w:sz w:val="28"/>
          <w:szCs w:val="28"/>
          <w:rtl/>
        </w:rPr>
        <w:t xml:space="preserve"> ובהשערות</w:t>
      </w:r>
      <w:r w:rsidR="00770D69" w:rsidRPr="00770D69">
        <w:rPr>
          <w:rFonts w:ascii="FrankRuehl" w:hAnsi="FrankRuehl" w:cs="FrankRuehl"/>
          <w:sz w:val="28"/>
          <w:szCs w:val="28"/>
          <w:rtl/>
        </w:rPr>
        <w:t xml:space="preserve"> הקשורות להתנהלותה של החברה הישראלית</w:t>
      </w:r>
      <w:r w:rsidR="00770D69">
        <w:rPr>
          <w:rFonts w:ascii="FrankRuehl" w:hAnsi="FrankRuehl" w:cs="FrankRuehl"/>
          <w:sz w:val="28"/>
          <w:szCs w:val="28"/>
          <w:rtl/>
        </w:rPr>
        <w:t xml:space="preserve"> ויחסי הכוח בתוכה. </w:t>
      </w:r>
      <w:r w:rsidR="00770D69" w:rsidRPr="00770D69">
        <w:rPr>
          <w:rFonts w:ascii="FrankRuehl" w:hAnsi="FrankRuehl" w:cs="FrankRuehl"/>
          <w:sz w:val="28"/>
          <w:szCs w:val="28"/>
          <w:rtl/>
        </w:rPr>
        <w:t>הנה עיקרי</w:t>
      </w:r>
      <w:r w:rsidR="00487E7C">
        <w:rPr>
          <w:rFonts w:ascii="FrankRuehl" w:hAnsi="FrankRuehl" w:cs="FrankRuehl"/>
          <w:sz w:val="28"/>
          <w:szCs w:val="28"/>
          <w:rtl/>
        </w:rPr>
        <w:t>ות שבהן</w:t>
      </w:r>
      <w:r w:rsidR="00770D69" w:rsidRPr="00770D69">
        <w:rPr>
          <w:rFonts w:ascii="FrankRuehl" w:hAnsi="FrankRuehl" w:cs="FrankRuehl"/>
          <w:sz w:val="28"/>
          <w:szCs w:val="28"/>
          <w:rtl/>
        </w:rPr>
        <w:t xml:space="preserve">: קיומן של "התפרצויות חירום" </w:t>
      </w:r>
      <w:proofErr w:type="spellStart"/>
      <w:r w:rsidR="00770D69" w:rsidRPr="00770D69">
        <w:rPr>
          <w:rFonts w:ascii="FrankRuehl" w:hAnsi="FrankRuehl" w:cs="FrankRuehl"/>
          <w:sz w:val="28"/>
          <w:szCs w:val="28"/>
          <w:rtl/>
        </w:rPr>
        <w:t>עתיות</w:t>
      </w:r>
      <w:proofErr w:type="spellEnd"/>
      <w:r w:rsidR="00770D69" w:rsidRPr="00770D69">
        <w:rPr>
          <w:rFonts w:ascii="FrankRuehl" w:hAnsi="FrankRuehl" w:cs="FrankRuehl"/>
          <w:sz w:val="28"/>
          <w:szCs w:val="28"/>
          <w:rtl/>
        </w:rPr>
        <w:t xml:space="preserve">, שבהן יש שימוש מסיבי בסמכויות חירום הנשענות על ראיות חסויות; צורך רב בבקרה על שימוש זה; בקרה שלא מתקיימת כמעט על ידי השופטים; צורך רב – אם תתקבל הצעתנו – במספר רב של עורכי דין מיוחדים; רצוננו הברור כי עורכי דין ערבים-פלסטינים יהיו חלק מאותם עורכי דין מיוחדים (ביחס לעורכי דין פלסטינים מהשטחים לא העזנו לקוות); ועוד. </w:t>
      </w:r>
    </w:p>
    <w:p w14:paraId="0B05FF20" w14:textId="77777777" w:rsidR="001F5218" w:rsidRPr="001A0B66" w:rsidRDefault="00770D69" w:rsidP="00F307FB">
      <w:pPr>
        <w:pStyle w:val="a0"/>
        <w:spacing w:line="276" w:lineRule="auto"/>
        <w:rPr>
          <w:rFonts w:ascii="FrankRuehl" w:hAnsi="FrankRuehl" w:cs="FrankRuehl"/>
          <w:sz w:val="28"/>
          <w:szCs w:val="28"/>
          <w:rtl/>
        </w:rPr>
      </w:pPr>
      <w:r>
        <w:rPr>
          <w:rFonts w:ascii="FrankRuehl" w:hAnsi="FrankRuehl" w:cs="FrankRuehl"/>
          <w:sz w:val="28"/>
          <w:szCs w:val="28"/>
          <w:rtl/>
        </w:rPr>
        <w:t>לשון אחר</w:t>
      </w:r>
      <w:r w:rsidR="00D514CA" w:rsidRPr="001A0B66">
        <w:rPr>
          <w:rFonts w:ascii="FrankRuehl" w:hAnsi="FrankRuehl" w:cs="FrankRuehl"/>
          <w:sz w:val="28"/>
          <w:szCs w:val="28"/>
          <w:rtl/>
        </w:rPr>
        <w:t xml:space="preserve">, </w:t>
      </w:r>
      <w:r w:rsidR="00992913" w:rsidRPr="001A0B66">
        <w:rPr>
          <w:rFonts w:ascii="FrankRuehl" w:hAnsi="FrankRuehl" w:cs="FrankRuehl"/>
          <w:sz w:val="28"/>
          <w:szCs w:val="28"/>
          <w:rtl/>
        </w:rPr>
        <w:t xml:space="preserve">איננו חולקים </w:t>
      </w:r>
      <w:r w:rsidR="00F91149" w:rsidRPr="001A0B66">
        <w:rPr>
          <w:rFonts w:ascii="FrankRuehl" w:hAnsi="FrankRuehl" w:cs="FrankRuehl"/>
          <w:sz w:val="28"/>
          <w:szCs w:val="28"/>
          <w:rtl/>
        </w:rPr>
        <w:t xml:space="preserve">על המחיר הממשי הכרוך בהסדר </w:t>
      </w:r>
      <w:r>
        <w:rPr>
          <w:rFonts w:ascii="FrankRuehl" w:hAnsi="FrankRuehl" w:cs="FrankRuehl"/>
          <w:sz w:val="28"/>
          <w:szCs w:val="28"/>
          <w:rtl/>
        </w:rPr>
        <w:t>המונע פגישת עורך הדין המיוחד עם לקוחו לאחר היחשפות עורך הדין לחומר החסוי</w:t>
      </w:r>
      <w:r w:rsidR="00487E7C">
        <w:rPr>
          <w:rFonts w:ascii="FrankRuehl" w:hAnsi="FrankRuehl" w:cs="FrankRuehl"/>
          <w:sz w:val="28"/>
          <w:szCs w:val="28"/>
          <w:rtl/>
        </w:rPr>
        <w:t>.</w:t>
      </w:r>
      <w:r w:rsidR="00992913" w:rsidRPr="001A0B66">
        <w:rPr>
          <w:rFonts w:ascii="FrankRuehl" w:hAnsi="FrankRuehl" w:cs="FrankRuehl"/>
          <w:sz w:val="28"/>
          <w:szCs w:val="28"/>
          <w:rtl/>
        </w:rPr>
        <w:t xml:space="preserve"> הכרעתנו נובעת מהצורך לב</w:t>
      </w:r>
      <w:r w:rsidR="00D514CA" w:rsidRPr="001A0B66">
        <w:rPr>
          <w:rFonts w:ascii="FrankRuehl" w:hAnsi="FrankRuehl" w:cs="FrankRuehl"/>
          <w:sz w:val="28"/>
          <w:szCs w:val="28"/>
          <w:rtl/>
        </w:rPr>
        <w:t>ח</w:t>
      </w:r>
      <w:r w:rsidR="00992913" w:rsidRPr="001A0B66">
        <w:rPr>
          <w:rFonts w:ascii="FrankRuehl" w:hAnsi="FrankRuehl" w:cs="FrankRuehl"/>
          <w:sz w:val="28"/>
          <w:szCs w:val="28"/>
          <w:rtl/>
        </w:rPr>
        <w:t xml:space="preserve">ור בין רעות. </w:t>
      </w:r>
      <w:r w:rsidR="007478A5" w:rsidRPr="001A0B66">
        <w:rPr>
          <w:rFonts w:ascii="FrankRuehl" w:hAnsi="FrankRuehl" w:cs="FrankRuehl"/>
          <w:sz w:val="28"/>
          <w:szCs w:val="28"/>
          <w:rtl/>
        </w:rPr>
        <w:t>מתן אפשרות לתקשורת בין</w:t>
      </w:r>
      <w:r w:rsidR="001F5218" w:rsidRPr="001A0B66">
        <w:rPr>
          <w:rFonts w:ascii="FrankRuehl" w:hAnsi="FrankRuehl" w:cs="FrankRuehl"/>
          <w:sz w:val="28"/>
          <w:szCs w:val="28"/>
          <w:rtl/>
        </w:rPr>
        <w:t xml:space="preserve"> האדם</w:t>
      </w:r>
      <w:r w:rsidR="007478A5" w:rsidRPr="001A0B66">
        <w:rPr>
          <w:rFonts w:ascii="FrankRuehl" w:hAnsi="FrankRuehl" w:cs="FrankRuehl"/>
          <w:sz w:val="28"/>
          <w:szCs w:val="28"/>
          <w:rtl/>
        </w:rPr>
        <w:t xml:space="preserve"> </w:t>
      </w:r>
      <w:r w:rsidR="001F5218" w:rsidRPr="001A0B66">
        <w:rPr>
          <w:rFonts w:ascii="FrankRuehl" w:hAnsi="FrankRuehl" w:cs="FrankRuehl"/>
          <w:sz w:val="28"/>
          <w:szCs w:val="28"/>
          <w:rtl/>
        </w:rPr>
        <w:t>ל</w:t>
      </w:r>
      <w:r w:rsidR="007478A5" w:rsidRPr="001A0B66">
        <w:rPr>
          <w:rFonts w:ascii="FrankRuehl" w:hAnsi="FrankRuehl" w:cs="FrankRuehl"/>
          <w:sz w:val="28"/>
          <w:szCs w:val="28"/>
          <w:rtl/>
        </w:rPr>
        <w:t xml:space="preserve">עורך הדין המיוחד לאחר </w:t>
      </w:r>
      <w:r w:rsidR="00935316" w:rsidRPr="001A0B66">
        <w:rPr>
          <w:rFonts w:ascii="FrankRuehl" w:hAnsi="FrankRuehl" w:cs="FrankRuehl"/>
          <w:sz w:val="28"/>
          <w:szCs w:val="28"/>
          <w:rtl/>
        </w:rPr>
        <w:t>ש</w:t>
      </w:r>
      <w:r w:rsidR="001F5218" w:rsidRPr="001A0B66">
        <w:rPr>
          <w:rFonts w:ascii="FrankRuehl" w:hAnsi="FrankRuehl" w:cs="FrankRuehl"/>
          <w:sz w:val="28"/>
          <w:szCs w:val="28"/>
          <w:rtl/>
        </w:rPr>
        <w:t>זה</w:t>
      </w:r>
      <w:r w:rsidR="00935316" w:rsidRPr="001A0B66">
        <w:rPr>
          <w:rFonts w:ascii="FrankRuehl" w:hAnsi="FrankRuehl" w:cs="FrankRuehl"/>
          <w:sz w:val="28"/>
          <w:szCs w:val="28"/>
          <w:rtl/>
        </w:rPr>
        <w:t xml:space="preserve"> נחשף</w:t>
      </w:r>
      <w:r w:rsidR="007478A5" w:rsidRPr="001A0B66">
        <w:rPr>
          <w:rFonts w:ascii="FrankRuehl" w:hAnsi="FrankRuehl" w:cs="FrankRuehl"/>
          <w:sz w:val="28"/>
          <w:szCs w:val="28"/>
          <w:rtl/>
        </w:rPr>
        <w:t xml:space="preserve"> לחומר הראיות הסודי </w:t>
      </w:r>
      <w:r w:rsidR="00B51381" w:rsidRPr="001A0B66">
        <w:rPr>
          <w:rFonts w:ascii="FrankRuehl" w:hAnsi="FrankRuehl" w:cs="FrankRuehl"/>
          <w:sz w:val="28"/>
          <w:szCs w:val="28"/>
          <w:rtl/>
        </w:rPr>
        <w:t xml:space="preserve">אכן </w:t>
      </w:r>
      <w:r w:rsidR="00487E7C">
        <w:rPr>
          <w:rFonts w:ascii="FrankRuehl" w:hAnsi="FrankRuehl" w:cs="FrankRuehl"/>
          <w:sz w:val="28"/>
          <w:szCs w:val="28"/>
          <w:rtl/>
        </w:rPr>
        <w:t xml:space="preserve">מעצימה את האפקטיביות של פעולת עורך הדין המיוחד, אך בו-זמנית היא </w:t>
      </w:r>
      <w:r w:rsidR="00935316" w:rsidRPr="001A0B66">
        <w:rPr>
          <w:rFonts w:ascii="FrankRuehl" w:hAnsi="FrankRuehl" w:cs="FrankRuehl"/>
          <w:sz w:val="28"/>
          <w:szCs w:val="28"/>
          <w:rtl/>
        </w:rPr>
        <w:t xml:space="preserve">מגבירה </w:t>
      </w:r>
      <w:r w:rsidR="00C67019" w:rsidRPr="001A0B66">
        <w:rPr>
          <w:rFonts w:ascii="FrankRuehl" w:hAnsi="FrankRuehl" w:cs="FrankRuehl"/>
          <w:sz w:val="28"/>
          <w:szCs w:val="28"/>
          <w:rtl/>
        </w:rPr>
        <w:t xml:space="preserve">את הסיכון </w:t>
      </w:r>
      <w:r w:rsidR="00935316" w:rsidRPr="001A0B66">
        <w:rPr>
          <w:rFonts w:ascii="FrankRuehl" w:hAnsi="FrankRuehl" w:cs="FrankRuehl"/>
          <w:sz w:val="28"/>
          <w:szCs w:val="28"/>
          <w:rtl/>
        </w:rPr>
        <w:t>ש</w:t>
      </w:r>
      <w:r w:rsidR="00C67019" w:rsidRPr="001A0B66">
        <w:rPr>
          <w:rFonts w:ascii="FrankRuehl" w:hAnsi="FrankRuehl" w:cs="FrankRuehl"/>
          <w:sz w:val="28"/>
          <w:szCs w:val="28"/>
          <w:rtl/>
        </w:rPr>
        <w:t>ל</w:t>
      </w:r>
      <w:r w:rsidR="00935316" w:rsidRPr="001A0B66">
        <w:rPr>
          <w:rFonts w:ascii="FrankRuehl" w:hAnsi="FrankRuehl" w:cs="FrankRuehl"/>
          <w:sz w:val="28"/>
          <w:szCs w:val="28"/>
          <w:rtl/>
        </w:rPr>
        <w:t xml:space="preserve"> </w:t>
      </w:r>
      <w:r w:rsidR="00C67019" w:rsidRPr="001A0B66">
        <w:rPr>
          <w:rFonts w:ascii="FrankRuehl" w:hAnsi="FrankRuehl" w:cs="FrankRuehl"/>
          <w:sz w:val="28"/>
          <w:szCs w:val="28"/>
          <w:rtl/>
        </w:rPr>
        <w:t>חשיפת ראיות</w:t>
      </w:r>
      <w:r w:rsidR="001F5218" w:rsidRPr="001A0B66">
        <w:rPr>
          <w:rFonts w:ascii="FrankRuehl" w:hAnsi="FrankRuehl" w:cs="FrankRuehl"/>
          <w:sz w:val="28"/>
          <w:szCs w:val="28"/>
          <w:rtl/>
        </w:rPr>
        <w:t>.</w:t>
      </w:r>
      <w:r w:rsidR="00C67019" w:rsidRPr="001A0B66">
        <w:rPr>
          <w:rFonts w:ascii="FrankRuehl" w:hAnsi="FrankRuehl" w:cs="FrankRuehl"/>
          <w:sz w:val="28"/>
          <w:szCs w:val="28"/>
          <w:rtl/>
        </w:rPr>
        <w:t xml:space="preserve"> </w:t>
      </w:r>
      <w:r w:rsidR="00117651" w:rsidRPr="001A0B66">
        <w:rPr>
          <w:rFonts w:ascii="FrankRuehl" w:hAnsi="FrankRuehl" w:cs="FrankRuehl"/>
          <w:sz w:val="28"/>
          <w:szCs w:val="28"/>
          <w:rtl/>
        </w:rPr>
        <w:t>לכן</w:t>
      </w:r>
      <w:r w:rsidR="00530B3B" w:rsidRPr="001A0B66">
        <w:rPr>
          <w:rFonts w:ascii="FrankRuehl" w:hAnsi="FrankRuehl" w:cs="FrankRuehl"/>
          <w:sz w:val="28"/>
          <w:szCs w:val="28"/>
          <w:rtl/>
        </w:rPr>
        <w:t>, להערכתנו,</w:t>
      </w:r>
      <w:r w:rsidR="00117651" w:rsidRPr="001A0B66">
        <w:rPr>
          <w:rFonts w:ascii="FrankRuehl" w:hAnsi="FrankRuehl" w:cs="FrankRuehl"/>
          <w:sz w:val="28"/>
          <w:szCs w:val="28"/>
          <w:rtl/>
        </w:rPr>
        <w:t xml:space="preserve"> </w:t>
      </w:r>
      <w:r w:rsidR="007478A5" w:rsidRPr="001A0B66">
        <w:rPr>
          <w:rFonts w:ascii="FrankRuehl" w:hAnsi="FrankRuehl" w:cs="FrankRuehl"/>
          <w:sz w:val="28"/>
          <w:szCs w:val="28"/>
          <w:rtl/>
        </w:rPr>
        <w:t>בישראל</w:t>
      </w:r>
      <w:r w:rsidR="00935316" w:rsidRPr="001A0B66">
        <w:rPr>
          <w:rFonts w:ascii="FrankRuehl" w:hAnsi="FrankRuehl" w:cs="FrankRuehl"/>
          <w:sz w:val="28"/>
          <w:szCs w:val="28"/>
          <w:rtl/>
        </w:rPr>
        <w:t xml:space="preserve"> היא תגרום</w:t>
      </w:r>
      <w:r w:rsidR="007478A5" w:rsidRPr="001A0B66">
        <w:rPr>
          <w:rFonts w:ascii="FrankRuehl" w:hAnsi="FrankRuehl" w:cs="FrankRuehl"/>
          <w:sz w:val="28"/>
          <w:szCs w:val="28"/>
          <w:rtl/>
        </w:rPr>
        <w:t xml:space="preserve"> </w:t>
      </w:r>
      <w:r w:rsidR="00935316" w:rsidRPr="001A0B66">
        <w:rPr>
          <w:rFonts w:ascii="FrankRuehl" w:hAnsi="FrankRuehl" w:cs="FrankRuehl"/>
          <w:sz w:val="28"/>
          <w:szCs w:val="28"/>
          <w:rtl/>
        </w:rPr>
        <w:t xml:space="preserve">להחמרת </w:t>
      </w:r>
      <w:r w:rsidR="00992913" w:rsidRPr="001A0B66">
        <w:rPr>
          <w:rFonts w:ascii="FrankRuehl" w:hAnsi="FrankRuehl" w:cs="FrankRuehl"/>
          <w:sz w:val="28"/>
          <w:szCs w:val="28"/>
          <w:rtl/>
        </w:rPr>
        <w:t>דרישת הסיווג הביטחוני מעורכי הדין המ</w:t>
      </w:r>
      <w:r w:rsidR="00935316" w:rsidRPr="001A0B66">
        <w:rPr>
          <w:rFonts w:ascii="FrankRuehl" w:hAnsi="FrankRuehl" w:cs="FrankRuehl"/>
          <w:sz w:val="28"/>
          <w:szCs w:val="28"/>
          <w:rtl/>
        </w:rPr>
        <w:t>ת</w:t>
      </w:r>
      <w:r w:rsidR="00992913" w:rsidRPr="001A0B66">
        <w:rPr>
          <w:rFonts w:ascii="FrankRuehl" w:hAnsi="FrankRuehl" w:cs="FrankRuehl"/>
          <w:sz w:val="28"/>
          <w:szCs w:val="28"/>
          <w:rtl/>
        </w:rPr>
        <w:t>מנים לתפקיד</w:t>
      </w:r>
      <w:r w:rsidR="007478A5" w:rsidRPr="001A0B66">
        <w:rPr>
          <w:rFonts w:ascii="FrankRuehl" w:hAnsi="FrankRuehl" w:cs="FrankRuehl"/>
          <w:sz w:val="28"/>
          <w:szCs w:val="28"/>
          <w:rtl/>
        </w:rPr>
        <w:t xml:space="preserve">, </w:t>
      </w:r>
      <w:r w:rsidR="00B51381" w:rsidRPr="001A0B66">
        <w:rPr>
          <w:rFonts w:ascii="FrankRuehl" w:hAnsi="FrankRuehl" w:cs="FrankRuehl"/>
          <w:sz w:val="28"/>
          <w:szCs w:val="28"/>
          <w:rtl/>
        </w:rPr>
        <w:t>ו</w:t>
      </w:r>
      <w:r w:rsidR="00935316" w:rsidRPr="001A0B66">
        <w:rPr>
          <w:rFonts w:ascii="FrankRuehl" w:hAnsi="FrankRuehl" w:cs="FrankRuehl"/>
          <w:sz w:val="28"/>
          <w:szCs w:val="28"/>
          <w:rtl/>
        </w:rPr>
        <w:t xml:space="preserve">כפועל יוצא תשפיע על </w:t>
      </w:r>
      <w:r w:rsidR="00420082" w:rsidRPr="001A0B66">
        <w:rPr>
          <w:rFonts w:ascii="FrankRuehl" w:hAnsi="FrankRuehl" w:cs="FrankRuehl"/>
          <w:sz w:val="28"/>
          <w:szCs w:val="28"/>
          <w:rtl/>
        </w:rPr>
        <w:t xml:space="preserve">זהותם </w:t>
      </w:r>
      <w:r w:rsidR="001F5218" w:rsidRPr="001A0B66">
        <w:rPr>
          <w:rFonts w:ascii="FrankRuehl" w:hAnsi="FrankRuehl" w:cs="FrankRuehl"/>
          <w:sz w:val="28"/>
          <w:szCs w:val="28"/>
          <w:rtl/>
        </w:rPr>
        <w:t>ותוביל</w:t>
      </w:r>
      <w:r w:rsidR="00935316" w:rsidRPr="001A0B66">
        <w:rPr>
          <w:rFonts w:ascii="FrankRuehl" w:hAnsi="FrankRuehl" w:cs="FrankRuehl"/>
          <w:sz w:val="28"/>
          <w:szCs w:val="28"/>
          <w:rtl/>
        </w:rPr>
        <w:t xml:space="preserve"> </w:t>
      </w:r>
      <w:r w:rsidR="007478A5" w:rsidRPr="001A0B66">
        <w:rPr>
          <w:rFonts w:ascii="FrankRuehl" w:hAnsi="FrankRuehl" w:cs="FrankRuehl"/>
          <w:sz w:val="28"/>
          <w:szCs w:val="28"/>
          <w:rtl/>
        </w:rPr>
        <w:t xml:space="preserve">לצמצום </w:t>
      </w:r>
      <w:r w:rsidR="00935316" w:rsidRPr="001A0B66">
        <w:rPr>
          <w:rFonts w:ascii="FrankRuehl" w:hAnsi="FrankRuehl" w:cs="FrankRuehl"/>
          <w:sz w:val="28"/>
          <w:szCs w:val="28"/>
          <w:rtl/>
        </w:rPr>
        <w:t xml:space="preserve">ניכר </w:t>
      </w:r>
      <w:r w:rsidR="007478A5" w:rsidRPr="001A0B66">
        <w:rPr>
          <w:rFonts w:ascii="FrankRuehl" w:hAnsi="FrankRuehl" w:cs="FrankRuehl"/>
          <w:sz w:val="28"/>
          <w:szCs w:val="28"/>
          <w:rtl/>
        </w:rPr>
        <w:t>במספר</w:t>
      </w:r>
      <w:r w:rsidR="00935316" w:rsidRPr="001A0B66">
        <w:rPr>
          <w:rFonts w:ascii="FrankRuehl" w:hAnsi="FrankRuehl" w:cs="FrankRuehl"/>
          <w:sz w:val="28"/>
          <w:szCs w:val="28"/>
          <w:rtl/>
        </w:rPr>
        <w:t>ם</w:t>
      </w:r>
      <w:r w:rsidR="007478A5" w:rsidRPr="001A0B66">
        <w:rPr>
          <w:rFonts w:ascii="FrankRuehl" w:hAnsi="FrankRuehl" w:cs="FrankRuehl"/>
          <w:sz w:val="28"/>
          <w:szCs w:val="28"/>
          <w:rtl/>
        </w:rPr>
        <w:t xml:space="preserve">. </w:t>
      </w:r>
    </w:p>
    <w:p w14:paraId="00191884" w14:textId="77777777" w:rsidR="007478A5" w:rsidRPr="001A0B66" w:rsidRDefault="007478A5"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אנו בוחרים </w:t>
      </w:r>
      <w:r w:rsidR="00992913" w:rsidRPr="001A0B66">
        <w:rPr>
          <w:rFonts w:ascii="FrankRuehl" w:hAnsi="FrankRuehl" w:cs="FrankRuehl"/>
          <w:sz w:val="28"/>
          <w:szCs w:val="28"/>
          <w:rtl/>
        </w:rPr>
        <w:t xml:space="preserve">להעדיף שלא לשלם את המחיר </w:t>
      </w:r>
      <w:r w:rsidR="006E59D0" w:rsidRPr="001A0B66">
        <w:rPr>
          <w:rFonts w:ascii="FrankRuehl" w:hAnsi="FrankRuehl" w:cs="FrankRuehl"/>
          <w:sz w:val="28"/>
          <w:szCs w:val="28"/>
          <w:rtl/>
        </w:rPr>
        <w:t xml:space="preserve">הצפוי </w:t>
      </w:r>
      <w:r w:rsidR="00770D69">
        <w:rPr>
          <w:rFonts w:ascii="FrankRuehl" w:hAnsi="FrankRuehl" w:cs="FrankRuehl"/>
          <w:sz w:val="28"/>
          <w:szCs w:val="28"/>
          <w:rtl/>
        </w:rPr>
        <w:t xml:space="preserve">משלושה </w:t>
      </w:r>
      <w:r w:rsidR="006E59D0" w:rsidRPr="001A0B66">
        <w:rPr>
          <w:rFonts w:ascii="FrankRuehl" w:hAnsi="FrankRuehl" w:cs="FrankRuehl"/>
          <w:sz w:val="28"/>
          <w:szCs w:val="28"/>
          <w:rtl/>
        </w:rPr>
        <w:t>טעמים עיקריים. ראשית, לתפיסתנו</w:t>
      </w:r>
      <w:r w:rsidR="00992913" w:rsidRPr="001A0B66">
        <w:rPr>
          <w:rFonts w:ascii="FrankRuehl" w:hAnsi="FrankRuehl" w:cs="FrankRuehl"/>
          <w:sz w:val="28"/>
          <w:szCs w:val="28"/>
          <w:rtl/>
        </w:rPr>
        <w:t xml:space="preserve"> שמירה על מספר </w:t>
      </w:r>
      <w:r w:rsidR="001F5218" w:rsidRPr="001A0B66">
        <w:rPr>
          <w:rFonts w:ascii="FrankRuehl" w:hAnsi="FrankRuehl" w:cs="FrankRuehl"/>
          <w:sz w:val="28"/>
          <w:szCs w:val="28"/>
          <w:rtl/>
        </w:rPr>
        <w:t xml:space="preserve">רב </w:t>
      </w:r>
      <w:r w:rsidR="00992913" w:rsidRPr="001A0B66">
        <w:rPr>
          <w:rFonts w:ascii="FrankRuehl" w:hAnsi="FrankRuehl" w:cs="FrankRuehl"/>
          <w:sz w:val="28"/>
          <w:szCs w:val="28"/>
          <w:rtl/>
        </w:rPr>
        <w:t xml:space="preserve">יחסית של עורכי דין בעלי סיווג ביטחוני </w:t>
      </w:r>
      <w:r w:rsidR="00502808" w:rsidRPr="001A0B66">
        <w:rPr>
          <w:rFonts w:ascii="FrankRuehl" w:hAnsi="FrankRuehl" w:cs="FrankRuehl"/>
          <w:sz w:val="28"/>
          <w:szCs w:val="28"/>
          <w:rtl/>
        </w:rPr>
        <w:t xml:space="preserve">שדי בו </w:t>
      </w:r>
      <w:r w:rsidR="00992913" w:rsidRPr="001A0B66">
        <w:rPr>
          <w:rFonts w:ascii="FrankRuehl" w:hAnsi="FrankRuehl" w:cs="FrankRuehl"/>
          <w:sz w:val="28"/>
          <w:szCs w:val="28"/>
          <w:rtl/>
        </w:rPr>
        <w:t>ה</w:t>
      </w:r>
      <w:r w:rsidR="006E59D0" w:rsidRPr="001A0B66">
        <w:rPr>
          <w:rFonts w:ascii="FrankRuehl" w:hAnsi="FrankRuehl" w:cs="FrankRuehl"/>
          <w:sz w:val="28"/>
          <w:szCs w:val="28"/>
          <w:rtl/>
        </w:rPr>
        <w:t>יא</w:t>
      </w:r>
      <w:r w:rsidR="00992913" w:rsidRPr="001A0B66">
        <w:rPr>
          <w:rFonts w:ascii="FrankRuehl" w:hAnsi="FrankRuehl" w:cs="FrankRuehl"/>
          <w:sz w:val="28"/>
          <w:szCs w:val="28"/>
          <w:rtl/>
        </w:rPr>
        <w:t xml:space="preserve"> </w:t>
      </w:r>
      <w:r w:rsidR="001F5218" w:rsidRPr="001A0B66">
        <w:rPr>
          <w:rFonts w:ascii="FrankRuehl" w:hAnsi="FrankRuehl" w:cs="FrankRuehl"/>
          <w:sz w:val="28"/>
          <w:szCs w:val="28"/>
          <w:rtl/>
        </w:rPr>
        <w:t>חיונית</w:t>
      </w:r>
      <w:r w:rsidR="00992913" w:rsidRPr="001A0B66">
        <w:rPr>
          <w:rFonts w:ascii="FrankRuehl" w:hAnsi="FrankRuehl" w:cs="FrankRuehl"/>
          <w:sz w:val="28"/>
          <w:szCs w:val="28"/>
          <w:rtl/>
        </w:rPr>
        <w:t xml:space="preserve">, במיוחד בתקופות </w:t>
      </w:r>
      <w:r w:rsidR="0088579E" w:rsidRPr="001A0B66">
        <w:rPr>
          <w:rFonts w:ascii="FrankRuehl" w:hAnsi="FrankRuehl" w:cs="FrankRuehl"/>
          <w:sz w:val="28"/>
          <w:szCs w:val="28"/>
          <w:rtl/>
        </w:rPr>
        <w:t>ש</w:t>
      </w:r>
      <w:r w:rsidR="00992913" w:rsidRPr="001A0B66">
        <w:rPr>
          <w:rFonts w:ascii="FrankRuehl" w:hAnsi="FrankRuehl" w:cs="FrankRuehl"/>
          <w:sz w:val="28"/>
          <w:szCs w:val="28"/>
          <w:rtl/>
        </w:rPr>
        <w:t>בהן נעשה שימוש נרחב</w:t>
      </w:r>
      <w:r w:rsidR="00C56381" w:rsidRPr="001A0B66">
        <w:rPr>
          <w:rFonts w:ascii="FrankRuehl" w:hAnsi="FrankRuehl" w:cs="FrankRuehl"/>
          <w:sz w:val="28"/>
          <w:szCs w:val="28"/>
          <w:rtl/>
        </w:rPr>
        <w:t xml:space="preserve"> ולעיתים המוני</w:t>
      </w:r>
      <w:r w:rsidR="00992913" w:rsidRPr="001A0B66">
        <w:rPr>
          <w:rFonts w:ascii="FrankRuehl" w:hAnsi="FrankRuehl" w:cs="FrankRuehl"/>
          <w:sz w:val="28"/>
          <w:szCs w:val="28"/>
          <w:rtl/>
        </w:rPr>
        <w:t xml:space="preserve"> בסמכויות חירום.</w:t>
      </w:r>
      <w:r w:rsidR="00992913" w:rsidRPr="001A0B66">
        <w:rPr>
          <w:rStyle w:val="FootnoteReference"/>
          <w:rFonts w:ascii="FrankRuehl" w:hAnsi="FrankRuehl" w:cs="FrankRuehl"/>
          <w:sz w:val="28"/>
          <w:szCs w:val="28"/>
          <w:rtl/>
        </w:rPr>
        <w:footnoteReference w:id="73"/>
      </w:r>
      <w:r w:rsidR="00992913" w:rsidRPr="001A0B66">
        <w:rPr>
          <w:rFonts w:ascii="FrankRuehl" w:hAnsi="FrankRuehl" w:cs="FrankRuehl"/>
          <w:sz w:val="28"/>
          <w:szCs w:val="28"/>
          <w:rtl/>
        </w:rPr>
        <w:t xml:space="preserve"> </w:t>
      </w:r>
      <w:r w:rsidR="006E59D0" w:rsidRPr="001A0B66">
        <w:rPr>
          <w:rFonts w:ascii="FrankRuehl" w:hAnsi="FrankRuehl" w:cs="FrankRuehl"/>
          <w:sz w:val="28"/>
          <w:szCs w:val="28"/>
          <w:rtl/>
        </w:rPr>
        <w:t xml:space="preserve">שנית, </w:t>
      </w:r>
      <w:r w:rsidR="009C792B" w:rsidRPr="001A0B66">
        <w:rPr>
          <w:rFonts w:ascii="FrankRuehl" w:hAnsi="FrankRuehl" w:cs="FrankRuehl"/>
          <w:sz w:val="28"/>
          <w:szCs w:val="28"/>
          <w:rtl/>
        </w:rPr>
        <w:t xml:space="preserve">עמדתנו קשורה גם בכך שמטבע </w:t>
      </w:r>
      <w:r w:rsidR="001F5218" w:rsidRPr="001A0B66">
        <w:rPr>
          <w:rFonts w:ascii="FrankRuehl" w:hAnsi="FrankRuehl" w:cs="FrankRuehl"/>
          <w:sz w:val="28"/>
          <w:szCs w:val="28"/>
          <w:rtl/>
        </w:rPr>
        <w:t>הדברים</w:t>
      </w:r>
      <w:r w:rsidR="006E59D0" w:rsidRPr="001A0B66">
        <w:rPr>
          <w:rFonts w:ascii="FrankRuehl" w:hAnsi="FrankRuehl" w:cs="FrankRuehl"/>
          <w:sz w:val="28"/>
          <w:szCs w:val="28"/>
          <w:rtl/>
        </w:rPr>
        <w:t>,</w:t>
      </w:r>
      <w:r w:rsidR="005900AD" w:rsidRPr="001A0B66">
        <w:rPr>
          <w:rFonts w:ascii="FrankRuehl" w:hAnsi="FrankRuehl" w:cs="FrankRuehl"/>
          <w:sz w:val="28"/>
          <w:szCs w:val="28"/>
          <w:rtl/>
        </w:rPr>
        <w:t xml:space="preserve"> עורך הדין המיוחד אכן מוגבל מא</w:t>
      </w:r>
      <w:r w:rsidR="00704948" w:rsidRPr="001A0B66">
        <w:rPr>
          <w:rFonts w:ascii="FrankRuehl" w:hAnsi="FrankRuehl" w:cs="FrankRuehl"/>
          <w:sz w:val="28"/>
          <w:szCs w:val="28"/>
          <w:rtl/>
        </w:rPr>
        <w:t>ו</w:t>
      </w:r>
      <w:r w:rsidR="005900AD" w:rsidRPr="001A0B66">
        <w:rPr>
          <w:rFonts w:ascii="FrankRuehl" w:hAnsi="FrankRuehl" w:cs="FrankRuehl"/>
          <w:sz w:val="28"/>
          <w:szCs w:val="28"/>
          <w:rtl/>
        </w:rPr>
        <w:t xml:space="preserve">ד ביכולתו לדון עם האדם על </w:t>
      </w:r>
      <w:r w:rsidR="001F5218" w:rsidRPr="001A0B66">
        <w:rPr>
          <w:rFonts w:ascii="FrankRuehl" w:hAnsi="FrankRuehl" w:cs="FrankRuehl"/>
          <w:sz w:val="28"/>
          <w:szCs w:val="28"/>
          <w:rtl/>
        </w:rPr>
        <w:t xml:space="preserve">נושאים </w:t>
      </w:r>
      <w:r w:rsidR="005900AD" w:rsidRPr="001A0B66">
        <w:rPr>
          <w:rFonts w:ascii="FrankRuehl" w:hAnsi="FrankRuehl" w:cs="FrankRuehl"/>
          <w:sz w:val="28"/>
          <w:szCs w:val="28"/>
          <w:rtl/>
        </w:rPr>
        <w:t xml:space="preserve">העולים מהמידע החסוי, שכן דיון כזה עלול לחשוף </w:t>
      </w:r>
      <w:r w:rsidR="001F5218" w:rsidRPr="001A0B66">
        <w:rPr>
          <w:rFonts w:ascii="FrankRuehl" w:hAnsi="FrankRuehl" w:cs="FrankRuehl"/>
          <w:sz w:val="28"/>
          <w:szCs w:val="28"/>
          <w:rtl/>
        </w:rPr>
        <w:t xml:space="preserve">מידע שמוצדק </w:t>
      </w:r>
      <w:r w:rsidR="005900AD" w:rsidRPr="001A0B66">
        <w:rPr>
          <w:rFonts w:ascii="FrankRuehl" w:hAnsi="FrankRuehl" w:cs="FrankRuehl"/>
          <w:sz w:val="28"/>
          <w:szCs w:val="28"/>
          <w:rtl/>
        </w:rPr>
        <w:t>ל</w:t>
      </w:r>
      <w:r w:rsidR="00630F90" w:rsidRPr="001A0B66">
        <w:rPr>
          <w:rFonts w:ascii="FrankRuehl" w:hAnsi="FrankRuehl" w:cs="FrankRuehl"/>
          <w:sz w:val="28"/>
          <w:szCs w:val="28"/>
          <w:rtl/>
        </w:rPr>
        <w:t>הסתיר</w:t>
      </w:r>
      <w:r w:rsidR="005900AD" w:rsidRPr="001A0B66">
        <w:rPr>
          <w:rFonts w:ascii="FrankRuehl" w:hAnsi="FrankRuehl" w:cs="FrankRuehl"/>
          <w:sz w:val="28"/>
          <w:szCs w:val="28"/>
          <w:rtl/>
        </w:rPr>
        <w:t xml:space="preserve">. מצב </w:t>
      </w:r>
      <w:r w:rsidR="006E59D0" w:rsidRPr="001A0B66">
        <w:rPr>
          <w:rFonts w:ascii="FrankRuehl" w:hAnsi="FrankRuehl" w:cs="FrankRuehl"/>
          <w:sz w:val="28"/>
          <w:szCs w:val="28"/>
          <w:rtl/>
        </w:rPr>
        <w:t>ה</w:t>
      </w:r>
      <w:r w:rsidR="005900AD" w:rsidRPr="001A0B66">
        <w:rPr>
          <w:rFonts w:ascii="FrankRuehl" w:hAnsi="FrankRuehl" w:cs="FrankRuehl"/>
          <w:sz w:val="28"/>
          <w:szCs w:val="28"/>
          <w:rtl/>
        </w:rPr>
        <w:t>דברים</w:t>
      </w:r>
      <w:r w:rsidR="00D514CA" w:rsidRPr="001A0B66">
        <w:rPr>
          <w:rFonts w:ascii="FrankRuehl" w:hAnsi="FrankRuehl" w:cs="FrankRuehl"/>
          <w:sz w:val="28"/>
          <w:szCs w:val="28"/>
          <w:rtl/>
        </w:rPr>
        <w:t xml:space="preserve"> הבסיסי</w:t>
      </w:r>
      <w:r w:rsidR="005900AD" w:rsidRPr="001A0B66">
        <w:rPr>
          <w:rFonts w:ascii="FrankRuehl" w:hAnsi="FrankRuehl" w:cs="FrankRuehl"/>
          <w:sz w:val="28"/>
          <w:szCs w:val="28"/>
          <w:rtl/>
        </w:rPr>
        <w:t xml:space="preserve"> מגביל</w:t>
      </w:r>
      <w:r w:rsidR="003C793A" w:rsidRPr="001A0B66">
        <w:rPr>
          <w:rFonts w:ascii="FrankRuehl" w:hAnsi="FrankRuehl" w:cs="FrankRuehl"/>
          <w:sz w:val="28"/>
          <w:szCs w:val="28"/>
          <w:rtl/>
        </w:rPr>
        <w:t xml:space="preserve"> לפיכך</w:t>
      </w:r>
      <w:r w:rsidR="005900AD" w:rsidRPr="001A0B66">
        <w:rPr>
          <w:rFonts w:ascii="FrankRuehl" w:hAnsi="FrankRuehl" w:cs="FrankRuehl"/>
          <w:sz w:val="28"/>
          <w:szCs w:val="28"/>
          <w:rtl/>
        </w:rPr>
        <w:t xml:space="preserve"> מראש את יכולת הדיון</w:t>
      </w:r>
      <w:r w:rsidR="006E59D0" w:rsidRPr="001A0B66">
        <w:rPr>
          <w:rFonts w:ascii="FrankRuehl" w:hAnsi="FrankRuehl" w:cs="FrankRuehl"/>
          <w:sz w:val="28"/>
          <w:szCs w:val="28"/>
          <w:rtl/>
        </w:rPr>
        <w:t xml:space="preserve"> בין עורך הדין המיוחד והאדם</w:t>
      </w:r>
      <w:r w:rsidR="00630F90" w:rsidRPr="001A0B66">
        <w:rPr>
          <w:rFonts w:ascii="FrankRuehl" w:hAnsi="FrankRuehl" w:cs="FrankRuehl"/>
          <w:sz w:val="28"/>
          <w:szCs w:val="28"/>
          <w:rtl/>
        </w:rPr>
        <w:t>, אף</w:t>
      </w:r>
      <w:r w:rsidR="005900AD" w:rsidRPr="001A0B66">
        <w:rPr>
          <w:rFonts w:ascii="FrankRuehl" w:hAnsi="FrankRuehl" w:cs="FrankRuehl"/>
          <w:sz w:val="28"/>
          <w:szCs w:val="28"/>
          <w:rtl/>
        </w:rPr>
        <w:t xml:space="preserve"> </w:t>
      </w:r>
      <w:r w:rsidR="00E66093" w:rsidRPr="001A0B66">
        <w:rPr>
          <w:rFonts w:ascii="FrankRuehl" w:hAnsi="FrankRuehl" w:cs="FrankRuehl"/>
          <w:sz w:val="28"/>
          <w:szCs w:val="28"/>
          <w:rtl/>
        </w:rPr>
        <w:t xml:space="preserve">לו </w:t>
      </w:r>
      <w:r w:rsidR="005900AD" w:rsidRPr="001A0B66">
        <w:rPr>
          <w:rFonts w:ascii="FrankRuehl" w:hAnsi="FrankRuehl" w:cs="FrankRuehl"/>
          <w:sz w:val="28"/>
          <w:szCs w:val="28"/>
          <w:rtl/>
        </w:rPr>
        <w:t xml:space="preserve">לא הייתה הגבלה פורמלית על דיון שכזה. </w:t>
      </w:r>
      <w:r w:rsidR="00770D69">
        <w:rPr>
          <w:rFonts w:ascii="FrankRuehl" w:hAnsi="FrankRuehl" w:cs="FrankRuehl"/>
          <w:sz w:val="28"/>
          <w:szCs w:val="28"/>
          <w:rtl/>
        </w:rPr>
        <w:t>שלישית, כאמור לעיל, ההצעה – גם המקורית וגם שלנו – מותירה</w:t>
      </w:r>
      <w:r w:rsidR="00487E7C">
        <w:rPr>
          <w:rFonts w:ascii="FrankRuehl" w:hAnsi="FrankRuehl" w:cs="FrankRuehl"/>
          <w:sz w:val="28"/>
          <w:szCs w:val="28"/>
          <w:rtl/>
        </w:rPr>
        <w:t>, בנסיבות מיוחדות,</w:t>
      </w:r>
      <w:r w:rsidR="00770D69">
        <w:rPr>
          <w:rFonts w:ascii="FrankRuehl" w:hAnsi="FrankRuehl" w:cs="FrankRuehl"/>
          <w:sz w:val="28"/>
          <w:szCs w:val="28"/>
          <w:rtl/>
        </w:rPr>
        <w:t xml:space="preserve"> את אפשרות המפגש בין עורך הדין המיוחד ולקוחו אם יאשר זאת בית המשפט.</w:t>
      </w:r>
    </w:p>
    <w:p w14:paraId="5DCE21AB" w14:textId="77777777" w:rsidR="009C792B" w:rsidRPr="001A0B66" w:rsidRDefault="005900A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lastRenderedPageBreak/>
        <w:t>כ</w:t>
      </w:r>
      <w:r w:rsidR="003C793A" w:rsidRPr="001A0B66">
        <w:rPr>
          <w:rFonts w:ascii="FrankRuehl" w:hAnsi="FrankRuehl" w:cs="FrankRuehl"/>
          <w:sz w:val="28"/>
          <w:szCs w:val="28"/>
          <w:rtl/>
        </w:rPr>
        <w:t>משקל נגד</w:t>
      </w:r>
      <w:r w:rsidRPr="001A0B66">
        <w:rPr>
          <w:rFonts w:ascii="FrankRuehl" w:hAnsi="FrankRuehl" w:cs="FrankRuehl"/>
          <w:sz w:val="28"/>
          <w:szCs w:val="28"/>
          <w:rtl/>
        </w:rPr>
        <w:t xml:space="preserve"> לקושי ש</w:t>
      </w:r>
      <w:r w:rsidR="0071593E" w:rsidRPr="001A0B66">
        <w:rPr>
          <w:rFonts w:ascii="FrankRuehl" w:hAnsi="FrankRuehl" w:cs="FrankRuehl"/>
          <w:sz w:val="28"/>
          <w:szCs w:val="28"/>
          <w:rtl/>
        </w:rPr>
        <w:t xml:space="preserve">מעוררת </w:t>
      </w:r>
      <w:r w:rsidRPr="001A0B66">
        <w:rPr>
          <w:rFonts w:ascii="FrankRuehl" w:hAnsi="FrankRuehl" w:cs="FrankRuehl"/>
          <w:sz w:val="28"/>
          <w:szCs w:val="28"/>
          <w:rtl/>
        </w:rPr>
        <w:t xml:space="preserve">הגבלת הדיון בין עורך הדין המיוחד לבין האדם, </w:t>
      </w:r>
      <w:r w:rsidR="001F5218" w:rsidRPr="001A0B66">
        <w:rPr>
          <w:rFonts w:ascii="FrankRuehl" w:hAnsi="FrankRuehl" w:cs="FrankRuehl"/>
          <w:sz w:val="28"/>
          <w:szCs w:val="28"/>
          <w:rtl/>
        </w:rPr>
        <w:t xml:space="preserve">נציע </w:t>
      </w:r>
      <w:r w:rsidR="00630F90" w:rsidRPr="001A0B66">
        <w:rPr>
          <w:rFonts w:ascii="FrankRuehl" w:hAnsi="FrankRuehl" w:cs="FrankRuehl"/>
          <w:sz w:val="28"/>
          <w:szCs w:val="28"/>
          <w:rtl/>
        </w:rPr>
        <w:t xml:space="preserve">להלן </w:t>
      </w:r>
      <w:r w:rsidR="009C792B" w:rsidRPr="001A0B66">
        <w:rPr>
          <w:rFonts w:ascii="FrankRuehl" w:hAnsi="FrankRuehl" w:cs="FrankRuehl"/>
          <w:sz w:val="28"/>
          <w:szCs w:val="28"/>
          <w:rtl/>
        </w:rPr>
        <w:t>מנגנונים</w:t>
      </w:r>
      <w:r w:rsidRPr="001A0B66">
        <w:rPr>
          <w:rFonts w:ascii="FrankRuehl" w:hAnsi="FrankRuehl" w:cs="FrankRuehl"/>
          <w:sz w:val="28"/>
          <w:szCs w:val="28"/>
          <w:rtl/>
        </w:rPr>
        <w:t xml:space="preserve"> </w:t>
      </w:r>
      <w:r w:rsidR="009C792B" w:rsidRPr="001A0B66">
        <w:rPr>
          <w:rFonts w:ascii="FrankRuehl" w:hAnsi="FrankRuehl" w:cs="FrankRuehl"/>
          <w:sz w:val="28"/>
          <w:szCs w:val="28"/>
          <w:rtl/>
        </w:rPr>
        <w:t>ש</w:t>
      </w:r>
      <w:r w:rsidR="00E66093" w:rsidRPr="001A0B66">
        <w:rPr>
          <w:rFonts w:ascii="FrankRuehl" w:hAnsi="FrankRuehl" w:cs="FrankRuehl"/>
          <w:sz w:val="28"/>
          <w:szCs w:val="28"/>
          <w:rtl/>
        </w:rPr>
        <w:t>טמונה ב</w:t>
      </w:r>
      <w:r w:rsidR="009C792B" w:rsidRPr="001A0B66">
        <w:rPr>
          <w:rFonts w:ascii="FrankRuehl" w:hAnsi="FrankRuehl" w:cs="FrankRuehl"/>
          <w:sz w:val="28"/>
          <w:szCs w:val="28"/>
          <w:rtl/>
        </w:rPr>
        <w:t xml:space="preserve">הם תרומה </w:t>
      </w:r>
      <w:r w:rsidR="00D514CA" w:rsidRPr="001A0B66">
        <w:rPr>
          <w:rFonts w:ascii="FrankRuehl" w:hAnsi="FrankRuehl" w:cs="FrankRuehl"/>
          <w:sz w:val="28"/>
          <w:szCs w:val="28"/>
          <w:rtl/>
        </w:rPr>
        <w:t xml:space="preserve">ממשית </w:t>
      </w:r>
      <w:r w:rsidR="009C792B" w:rsidRPr="001A0B66">
        <w:rPr>
          <w:rFonts w:ascii="FrankRuehl" w:hAnsi="FrankRuehl" w:cs="FrankRuehl"/>
          <w:sz w:val="28"/>
          <w:szCs w:val="28"/>
          <w:rtl/>
        </w:rPr>
        <w:t xml:space="preserve">לאפקטיביות </w:t>
      </w:r>
      <w:r w:rsidR="001F5218" w:rsidRPr="001A0B66">
        <w:rPr>
          <w:rFonts w:ascii="FrankRuehl" w:hAnsi="FrankRuehl" w:cs="FrankRuehl"/>
          <w:sz w:val="28"/>
          <w:szCs w:val="28"/>
          <w:rtl/>
        </w:rPr>
        <w:t xml:space="preserve">המודל </w:t>
      </w:r>
      <w:r w:rsidR="009C792B" w:rsidRPr="001A0B66">
        <w:rPr>
          <w:rFonts w:ascii="FrankRuehl" w:hAnsi="FrankRuehl" w:cs="FrankRuehl"/>
          <w:sz w:val="28"/>
          <w:szCs w:val="28"/>
          <w:rtl/>
        </w:rPr>
        <w:t>של עורכי הדין המיוחדים</w:t>
      </w:r>
      <w:r w:rsidRPr="001A0B66">
        <w:rPr>
          <w:rFonts w:ascii="FrankRuehl" w:hAnsi="FrankRuehl" w:cs="FrankRuehl"/>
          <w:sz w:val="28"/>
          <w:szCs w:val="28"/>
          <w:rtl/>
        </w:rPr>
        <w:t>. מדובר ב</w:t>
      </w:r>
      <w:r w:rsidR="00630F90" w:rsidRPr="001A0B66">
        <w:rPr>
          <w:rFonts w:ascii="FrankRuehl" w:hAnsi="FrankRuehl" w:cs="FrankRuehl"/>
          <w:sz w:val="28"/>
          <w:szCs w:val="28"/>
          <w:rtl/>
        </w:rPr>
        <w:t xml:space="preserve">הסדרים </w:t>
      </w:r>
      <w:r w:rsidRPr="001A0B66">
        <w:rPr>
          <w:rFonts w:ascii="FrankRuehl" w:hAnsi="FrankRuehl" w:cs="FrankRuehl"/>
          <w:sz w:val="28"/>
          <w:szCs w:val="28"/>
          <w:rtl/>
        </w:rPr>
        <w:t>שאינם מפורטים</w:t>
      </w:r>
      <w:r w:rsidR="0071593E" w:rsidRPr="001A0B66">
        <w:rPr>
          <w:rFonts w:ascii="FrankRuehl" w:hAnsi="FrankRuehl" w:cs="FrankRuehl"/>
          <w:sz w:val="28"/>
          <w:szCs w:val="28"/>
          <w:rtl/>
        </w:rPr>
        <w:t xml:space="preserve"> כלל</w:t>
      </w:r>
      <w:r w:rsidRPr="001A0B66">
        <w:rPr>
          <w:rFonts w:ascii="FrankRuehl" w:hAnsi="FrankRuehl" w:cs="FrankRuehl"/>
          <w:sz w:val="28"/>
          <w:szCs w:val="28"/>
          <w:rtl/>
        </w:rPr>
        <w:t xml:space="preserve"> או </w:t>
      </w:r>
      <w:r w:rsidR="0071593E" w:rsidRPr="001A0B66">
        <w:rPr>
          <w:rFonts w:ascii="FrankRuehl" w:hAnsi="FrankRuehl" w:cs="FrankRuehl"/>
          <w:sz w:val="28"/>
          <w:szCs w:val="28"/>
          <w:rtl/>
        </w:rPr>
        <w:t>ש</w:t>
      </w:r>
      <w:r w:rsidRPr="001A0B66">
        <w:rPr>
          <w:rFonts w:ascii="FrankRuehl" w:hAnsi="FrankRuehl" w:cs="FrankRuehl"/>
          <w:sz w:val="28"/>
          <w:szCs w:val="28"/>
          <w:rtl/>
        </w:rPr>
        <w:t xml:space="preserve">אינם </w:t>
      </w:r>
      <w:r w:rsidR="00992913" w:rsidRPr="001A0B66">
        <w:rPr>
          <w:rFonts w:ascii="FrankRuehl" w:hAnsi="FrankRuehl" w:cs="FrankRuehl"/>
          <w:sz w:val="28"/>
          <w:szCs w:val="28"/>
          <w:rtl/>
        </w:rPr>
        <w:t>מפורטים די</w:t>
      </w:r>
      <w:r w:rsidR="001F5218" w:rsidRPr="001A0B66">
        <w:rPr>
          <w:rFonts w:ascii="FrankRuehl" w:hAnsi="FrankRuehl" w:cs="FrankRuehl"/>
          <w:sz w:val="28"/>
          <w:szCs w:val="28"/>
          <w:rtl/>
        </w:rPr>
        <w:t>ים</w:t>
      </w:r>
      <w:r w:rsidR="00992913" w:rsidRPr="001A0B66">
        <w:rPr>
          <w:rFonts w:ascii="FrankRuehl" w:hAnsi="FrankRuehl" w:cs="FrankRuehl"/>
          <w:sz w:val="28"/>
          <w:szCs w:val="28"/>
          <w:rtl/>
        </w:rPr>
        <w:t xml:space="preserve"> בהצעת החוק. </w:t>
      </w:r>
    </w:p>
    <w:p w14:paraId="47EE9349" w14:textId="77777777" w:rsidR="0020314D" w:rsidRPr="001A0B66" w:rsidRDefault="0020314D" w:rsidP="00F307FB">
      <w:pPr>
        <w:pStyle w:val="Heading2"/>
        <w:spacing w:line="276" w:lineRule="auto"/>
        <w:rPr>
          <w:rFonts w:ascii="FrankRuehl" w:hAnsi="FrankRuehl" w:cs="FrankRuehl"/>
          <w:sz w:val="28"/>
          <w:szCs w:val="28"/>
          <w:rtl/>
        </w:rPr>
      </w:pPr>
      <w:bookmarkStart w:id="59" w:name="_Toc52981442"/>
      <w:bookmarkStart w:id="60" w:name="_Toc52984561"/>
      <w:bookmarkStart w:id="61" w:name="_Toc53124427"/>
      <w:bookmarkStart w:id="62" w:name="_Toc53143378"/>
      <w:r w:rsidRPr="001A0B66">
        <w:rPr>
          <w:rFonts w:ascii="FrankRuehl" w:hAnsi="FrankRuehl" w:cs="FrankRuehl"/>
          <w:sz w:val="28"/>
          <w:szCs w:val="28"/>
          <w:rtl/>
        </w:rPr>
        <w:t>הצעות</w:t>
      </w:r>
      <w:r w:rsidR="00056218" w:rsidRPr="001A0B66">
        <w:rPr>
          <w:rFonts w:ascii="FrankRuehl" w:hAnsi="FrankRuehl" w:cs="FrankRuehl"/>
          <w:sz w:val="28"/>
          <w:szCs w:val="28"/>
          <w:rtl/>
        </w:rPr>
        <w:t>ינו</w:t>
      </w:r>
      <w:r w:rsidRPr="001A0B66">
        <w:rPr>
          <w:rFonts w:ascii="FrankRuehl" w:hAnsi="FrankRuehl" w:cs="FrankRuehl"/>
          <w:sz w:val="28"/>
          <w:szCs w:val="28"/>
          <w:rtl/>
        </w:rPr>
        <w:t xml:space="preserve"> לשיפור ההסדר </w:t>
      </w:r>
      <w:r w:rsidR="001F5218" w:rsidRPr="001A0B66">
        <w:rPr>
          <w:rFonts w:ascii="FrankRuehl" w:hAnsi="FrankRuehl" w:cs="FrankRuehl"/>
          <w:sz w:val="28"/>
          <w:szCs w:val="28"/>
          <w:rtl/>
        </w:rPr>
        <w:t>ש</w:t>
      </w:r>
      <w:r w:rsidR="00117651" w:rsidRPr="001A0B66">
        <w:rPr>
          <w:rFonts w:ascii="FrankRuehl" w:hAnsi="FrankRuehl" w:cs="FrankRuehl"/>
          <w:sz w:val="28"/>
          <w:szCs w:val="28"/>
          <w:rtl/>
        </w:rPr>
        <w:t>בהצעת החוק</w:t>
      </w:r>
      <w:bookmarkEnd w:id="59"/>
      <w:bookmarkEnd w:id="60"/>
      <w:bookmarkEnd w:id="61"/>
      <w:bookmarkEnd w:id="62"/>
    </w:p>
    <w:p w14:paraId="269529CB" w14:textId="77777777" w:rsidR="0020314D" w:rsidRPr="001A0B66" w:rsidRDefault="00B31E89" w:rsidP="00F307FB">
      <w:pPr>
        <w:pStyle w:val="Heading3"/>
        <w:spacing w:line="276" w:lineRule="auto"/>
        <w:rPr>
          <w:rFonts w:ascii="FrankRuehl" w:hAnsi="FrankRuehl" w:cs="FrankRuehl"/>
          <w:sz w:val="28"/>
          <w:szCs w:val="28"/>
          <w:rtl/>
        </w:rPr>
      </w:pPr>
      <w:bookmarkStart w:id="63" w:name="_Toc52981443"/>
      <w:bookmarkStart w:id="64" w:name="_Toc52984562"/>
      <w:bookmarkStart w:id="65" w:name="_Toc53124428"/>
      <w:bookmarkStart w:id="66" w:name="_Toc53143379"/>
      <w:r w:rsidRPr="001A0B66">
        <w:rPr>
          <w:rFonts w:ascii="FrankRuehl" w:hAnsi="FrankRuehl" w:cs="FrankRuehl"/>
          <w:sz w:val="28"/>
          <w:szCs w:val="28"/>
          <w:rtl/>
        </w:rPr>
        <w:t>ש</w:t>
      </w:r>
      <w:r w:rsidR="0020314D" w:rsidRPr="001A0B66">
        <w:rPr>
          <w:rFonts w:ascii="FrankRuehl" w:hAnsi="FrankRuehl" w:cs="FrankRuehl"/>
          <w:sz w:val="28"/>
          <w:szCs w:val="28"/>
          <w:rtl/>
        </w:rPr>
        <w:t>כלול הכלים המסורים לעור</w:t>
      </w:r>
      <w:r w:rsidR="0071593E" w:rsidRPr="001A0B66">
        <w:rPr>
          <w:rFonts w:ascii="FrankRuehl" w:hAnsi="FrankRuehl" w:cs="FrankRuehl"/>
          <w:sz w:val="28"/>
          <w:szCs w:val="28"/>
          <w:rtl/>
        </w:rPr>
        <w:t>כי</w:t>
      </w:r>
      <w:r w:rsidR="0020314D" w:rsidRPr="001A0B66">
        <w:rPr>
          <w:rFonts w:ascii="FrankRuehl" w:hAnsi="FrankRuehl" w:cs="FrankRuehl"/>
          <w:sz w:val="28"/>
          <w:szCs w:val="28"/>
          <w:rtl/>
        </w:rPr>
        <w:t xml:space="preserve"> הדין המיוחד</w:t>
      </w:r>
      <w:r w:rsidR="0071593E" w:rsidRPr="001A0B66">
        <w:rPr>
          <w:rFonts w:ascii="FrankRuehl" w:hAnsi="FrankRuehl" w:cs="FrankRuehl"/>
          <w:sz w:val="28"/>
          <w:szCs w:val="28"/>
          <w:rtl/>
        </w:rPr>
        <w:t>ים</w:t>
      </w:r>
      <w:r w:rsidR="0020314D" w:rsidRPr="001A0B66">
        <w:rPr>
          <w:rFonts w:ascii="FrankRuehl" w:hAnsi="FrankRuehl" w:cs="FrankRuehl"/>
          <w:sz w:val="28"/>
          <w:szCs w:val="28"/>
          <w:rtl/>
        </w:rPr>
        <w:t xml:space="preserve"> וסוגיות הנוגעות למינוי</w:t>
      </w:r>
      <w:r w:rsidR="0071593E" w:rsidRPr="001A0B66">
        <w:rPr>
          <w:rFonts w:ascii="FrankRuehl" w:hAnsi="FrankRuehl" w:cs="FrankRuehl"/>
          <w:sz w:val="28"/>
          <w:szCs w:val="28"/>
          <w:rtl/>
        </w:rPr>
        <w:t>ם</w:t>
      </w:r>
      <w:r w:rsidR="0020314D" w:rsidRPr="001A0B66">
        <w:rPr>
          <w:rFonts w:ascii="FrankRuehl" w:hAnsi="FrankRuehl" w:cs="FrankRuehl"/>
          <w:sz w:val="28"/>
          <w:szCs w:val="28"/>
          <w:rtl/>
        </w:rPr>
        <w:t xml:space="preserve"> לתפקיד</w:t>
      </w:r>
      <w:bookmarkEnd w:id="63"/>
      <w:bookmarkEnd w:id="64"/>
      <w:bookmarkEnd w:id="65"/>
      <w:bookmarkEnd w:id="66"/>
    </w:p>
    <w:p w14:paraId="43711528" w14:textId="77777777" w:rsidR="0020314D" w:rsidRPr="001A0B66" w:rsidRDefault="0020314D" w:rsidP="00F307FB">
      <w:pPr>
        <w:pStyle w:val="Heading4"/>
        <w:spacing w:line="276" w:lineRule="auto"/>
        <w:rPr>
          <w:rFonts w:ascii="FrankRuehl" w:hAnsi="FrankRuehl" w:cs="FrankRuehl"/>
          <w:sz w:val="28"/>
          <w:szCs w:val="28"/>
        </w:rPr>
      </w:pPr>
      <w:bookmarkStart w:id="67" w:name="_Toc52984563"/>
      <w:bookmarkStart w:id="68" w:name="_Toc53143380"/>
      <w:bookmarkStart w:id="69" w:name="_Toc53124429"/>
      <w:r w:rsidRPr="001A0B66">
        <w:rPr>
          <w:rFonts w:ascii="FrankRuehl" w:hAnsi="FrankRuehl" w:cs="FrankRuehl"/>
          <w:sz w:val="28"/>
          <w:szCs w:val="28"/>
          <w:rtl/>
        </w:rPr>
        <w:t>הפרפרזה ועקרון הגילוי המקסימלי</w:t>
      </w:r>
      <w:bookmarkEnd w:id="67"/>
      <w:bookmarkEnd w:id="68"/>
      <w:bookmarkEnd w:id="69"/>
    </w:p>
    <w:p w14:paraId="64457326" w14:textId="77777777" w:rsidR="00630F90" w:rsidRPr="001A0B66" w:rsidRDefault="00E628D4"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המשפט המשווה מגלה </w:t>
      </w:r>
      <w:r w:rsidR="00417973" w:rsidRPr="001A0B66">
        <w:rPr>
          <w:rFonts w:ascii="FrankRuehl" w:hAnsi="FrankRuehl" w:cs="FrankRuehl"/>
          <w:sz w:val="28"/>
          <w:szCs w:val="28"/>
          <w:rtl/>
        </w:rPr>
        <w:t xml:space="preserve">דרישה </w:t>
      </w:r>
      <w:r w:rsidR="00C55CF4" w:rsidRPr="001A0B66">
        <w:rPr>
          <w:rFonts w:ascii="FrankRuehl" w:hAnsi="FrankRuehl" w:cs="FrankRuehl"/>
          <w:sz w:val="28"/>
          <w:szCs w:val="28"/>
          <w:rtl/>
        </w:rPr>
        <w:t>מרכזית</w:t>
      </w:r>
      <w:r w:rsidR="00056218" w:rsidRPr="001A0B66">
        <w:rPr>
          <w:rFonts w:ascii="FrankRuehl" w:hAnsi="FrankRuehl" w:cs="FrankRuehl"/>
          <w:sz w:val="28"/>
          <w:szCs w:val="28"/>
          <w:rtl/>
        </w:rPr>
        <w:t xml:space="preserve"> בהקשרן של ראיות חסויות</w:t>
      </w:r>
      <w:r w:rsidR="001F5218" w:rsidRPr="001A0B66">
        <w:rPr>
          <w:rFonts w:ascii="FrankRuehl" w:hAnsi="FrankRuehl" w:cs="FrankRuehl"/>
          <w:sz w:val="28"/>
          <w:szCs w:val="28"/>
          <w:rtl/>
        </w:rPr>
        <w:t xml:space="preserve"> –</w:t>
      </w:r>
      <w:r w:rsidR="005B6716" w:rsidRPr="001A0B66">
        <w:rPr>
          <w:rFonts w:ascii="FrankRuehl" w:hAnsi="FrankRuehl" w:cs="FrankRuehl"/>
          <w:sz w:val="28"/>
          <w:szCs w:val="28"/>
          <w:rtl/>
        </w:rPr>
        <w:t xml:space="preserve"> </w:t>
      </w:r>
      <w:r w:rsidR="009502E2" w:rsidRPr="001A0B66">
        <w:rPr>
          <w:rFonts w:ascii="FrankRuehl" w:hAnsi="FrankRuehl" w:cs="FrankRuehl"/>
          <w:sz w:val="28"/>
          <w:szCs w:val="28"/>
          <w:rtl/>
        </w:rPr>
        <w:t xml:space="preserve">היא </w:t>
      </w:r>
      <w:r w:rsidR="00264DF0" w:rsidRPr="001A0B66">
        <w:rPr>
          <w:rFonts w:ascii="FrankRuehl" w:hAnsi="FrankRuehl" w:cs="FrankRuehl"/>
          <w:sz w:val="28"/>
          <w:szCs w:val="28"/>
          <w:rtl/>
        </w:rPr>
        <w:t>הדרישה ל</w:t>
      </w:r>
      <w:r w:rsidR="00417973" w:rsidRPr="001A0B66">
        <w:rPr>
          <w:rFonts w:ascii="FrankRuehl" w:hAnsi="FrankRuehl" w:cs="FrankRuehl"/>
          <w:sz w:val="28"/>
          <w:szCs w:val="28"/>
          <w:rtl/>
        </w:rPr>
        <w:t>מסירת</w:t>
      </w:r>
      <w:r w:rsidR="00F4668E" w:rsidRPr="001A0B66">
        <w:rPr>
          <w:rFonts w:ascii="FrankRuehl" w:hAnsi="FrankRuehl" w:cs="FrankRuehl"/>
          <w:sz w:val="28"/>
          <w:szCs w:val="28"/>
          <w:rtl/>
        </w:rPr>
        <w:t xml:space="preserve"> </w:t>
      </w:r>
      <w:r w:rsidR="00C55CF4" w:rsidRPr="001A0B66">
        <w:rPr>
          <w:rFonts w:ascii="FrankRuehl" w:hAnsi="FrankRuehl" w:cs="FrankRuehl"/>
          <w:sz w:val="28"/>
          <w:szCs w:val="28"/>
          <w:rtl/>
        </w:rPr>
        <w:t>תמצית של אותן ראיות</w:t>
      </w:r>
      <w:r w:rsidR="00DE53C0" w:rsidRPr="001A0B66">
        <w:rPr>
          <w:rFonts w:ascii="FrankRuehl" w:hAnsi="FrankRuehl" w:cs="FrankRuehl"/>
          <w:sz w:val="28"/>
          <w:szCs w:val="28"/>
          <w:rtl/>
        </w:rPr>
        <w:t xml:space="preserve"> (דרישת ה-</w:t>
      </w:r>
      <w:r w:rsidR="00DE53C0" w:rsidRPr="001A0B66">
        <w:rPr>
          <w:rFonts w:ascii="FrankRuehl" w:hAnsi="FrankRuehl" w:cs="FrankRuehl"/>
          <w:sz w:val="28"/>
          <w:szCs w:val="28"/>
        </w:rPr>
        <w:t>gist</w:t>
      </w:r>
      <w:r w:rsidR="00DE53C0" w:rsidRPr="001A0B66">
        <w:rPr>
          <w:rFonts w:ascii="FrankRuehl" w:hAnsi="FrankRuehl" w:cs="FrankRuehl"/>
          <w:sz w:val="28"/>
          <w:szCs w:val="28"/>
          <w:rtl/>
        </w:rPr>
        <w:t>)</w:t>
      </w:r>
      <w:r w:rsidR="00C55CF4" w:rsidRPr="001A0B66">
        <w:rPr>
          <w:rFonts w:ascii="FrankRuehl" w:hAnsi="FrankRuehl" w:cs="FrankRuehl"/>
          <w:sz w:val="28"/>
          <w:szCs w:val="28"/>
          <w:rtl/>
        </w:rPr>
        <w:t xml:space="preserve">. תמצית זו </w:t>
      </w:r>
      <w:r w:rsidR="0020314D" w:rsidRPr="001A0B66">
        <w:rPr>
          <w:rFonts w:ascii="FrankRuehl" w:hAnsi="FrankRuehl" w:cs="FrankRuehl"/>
          <w:sz w:val="28"/>
          <w:szCs w:val="28"/>
          <w:rtl/>
        </w:rPr>
        <w:t>אמור</w:t>
      </w:r>
      <w:r w:rsidR="009502E2" w:rsidRPr="001A0B66">
        <w:rPr>
          <w:rFonts w:ascii="FrankRuehl" w:hAnsi="FrankRuehl" w:cs="FrankRuehl"/>
          <w:sz w:val="28"/>
          <w:szCs w:val="28"/>
          <w:rtl/>
        </w:rPr>
        <w:t>ה</w:t>
      </w:r>
      <w:r w:rsidR="0020314D" w:rsidRPr="001A0B66">
        <w:rPr>
          <w:rFonts w:ascii="FrankRuehl" w:hAnsi="FrankRuehl" w:cs="FrankRuehl"/>
          <w:sz w:val="28"/>
          <w:szCs w:val="28"/>
          <w:rtl/>
        </w:rPr>
        <w:t xml:space="preserve"> לבטא </w:t>
      </w:r>
      <w:r w:rsidR="00E82B76" w:rsidRPr="001A0B66">
        <w:rPr>
          <w:rFonts w:ascii="FrankRuehl" w:hAnsi="FrankRuehl" w:cs="FrankRuehl"/>
          <w:sz w:val="28"/>
          <w:szCs w:val="28"/>
          <w:rtl/>
        </w:rPr>
        <w:t xml:space="preserve">בהרחבה </w:t>
      </w:r>
      <w:r w:rsidR="002F32C4" w:rsidRPr="001A0B66">
        <w:rPr>
          <w:rFonts w:ascii="FrankRuehl" w:hAnsi="FrankRuehl" w:cs="FrankRuehl"/>
          <w:sz w:val="28"/>
          <w:szCs w:val="28"/>
          <w:rtl/>
        </w:rPr>
        <w:t xml:space="preserve">רבה </w:t>
      </w:r>
      <w:r w:rsidR="00417973" w:rsidRPr="001A0B66">
        <w:rPr>
          <w:rFonts w:ascii="FrankRuehl" w:hAnsi="FrankRuehl" w:cs="FrankRuehl"/>
          <w:sz w:val="28"/>
          <w:szCs w:val="28"/>
          <w:rtl/>
        </w:rPr>
        <w:t xml:space="preserve">ככל </w:t>
      </w:r>
      <w:r w:rsidR="001F5218" w:rsidRPr="001A0B66">
        <w:rPr>
          <w:rFonts w:ascii="FrankRuehl" w:hAnsi="FrankRuehl" w:cs="FrankRuehl"/>
          <w:sz w:val="28"/>
          <w:szCs w:val="28"/>
          <w:rtl/>
        </w:rPr>
        <w:t>האפשר</w:t>
      </w:r>
      <w:r w:rsidR="00417973" w:rsidRPr="001A0B66">
        <w:rPr>
          <w:rFonts w:ascii="FrankRuehl" w:hAnsi="FrankRuehl" w:cs="FrankRuehl"/>
          <w:sz w:val="28"/>
          <w:szCs w:val="28"/>
          <w:rtl/>
        </w:rPr>
        <w:t xml:space="preserve"> את טענות המדינה נגד האדם.</w:t>
      </w:r>
      <w:r w:rsidR="00417973" w:rsidRPr="001A0B66">
        <w:rPr>
          <w:rStyle w:val="FootnoteReference"/>
          <w:rFonts w:ascii="FrankRuehl" w:hAnsi="FrankRuehl" w:cs="FrankRuehl"/>
          <w:sz w:val="28"/>
          <w:szCs w:val="28"/>
          <w:rtl/>
        </w:rPr>
        <w:footnoteReference w:id="74"/>
      </w:r>
      <w:r w:rsidR="00074445" w:rsidRPr="001A0B66">
        <w:rPr>
          <w:rFonts w:ascii="FrankRuehl" w:hAnsi="FrankRuehl" w:cs="FrankRuehl"/>
          <w:sz w:val="28"/>
          <w:szCs w:val="28"/>
          <w:rtl/>
        </w:rPr>
        <w:t xml:space="preserve"> </w:t>
      </w:r>
      <w:r w:rsidR="002F32C4" w:rsidRPr="001A0B66">
        <w:rPr>
          <w:rFonts w:ascii="FrankRuehl" w:hAnsi="FrankRuehl" w:cs="FrankRuehl"/>
          <w:sz w:val="28"/>
          <w:szCs w:val="28"/>
          <w:rtl/>
        </w:rPr>
        <w:t xml:space="preserve">התמצית </w:t>
      </w:r>
      <w:r w:rsidR="007F4A2D" w:rsidRPr="001A0B66">
        <w:rPr>
          <w:rFonts w:ascii="FrankRuehl" w:hAnsi="FrankRuehl" w:cs="FrankRuehl"/>
          <w:sz w:val="28"/>
          <w:szCs w:val="28"/>
          <w:rtl/>
        </w:rPr>
        <w:t xml:space="preserve">היא בסיס </w:t>
      </w:r>
      <w:r w:rsidR="00264DF0" w:rsidRPr="001A0B66">
        <w:rPr>
          <w:rFonts w:ascii="FrankRuehl" w:hAnsi="FrankRuehl" w:cs="FrankRuehl"/>
          <w:sz w:val="28"/>
          <w:szCs w:val="28"/>
          <w:rtl/>
        </w:rPr>
        <w:t xml:space="preserve">עיקרי </w:t>
      </w:r>
      <w:r w:rsidR="00EB1356" w:rsidRPr="001A0B66">
        <w:rPr>
          <w:rFonts w:ascii="FrankRuehl" w:hAnsi="FrankRuehl" w:cs="FrankRuehl"/>
          <w:sz w:val="28"/>
          <w:szCs w:val="28"/>
          <w:rtl/>
        </w:rPr>
        <w:t>לשיח בין האדם</w:t>
      </w:r>
      <w:r w:rsidR="007F4A2D" w:rsidRPr="001A0B66">
        <w:rPr>
          <w:rFonts w:ascii="FrankRuehl" w:hAnsi="FrankRuehl" w:cs="FrankRuehl"/>
          <w:sz w:val="28"/>
          <w:szCs w:val="28"/>
          <w:rtl/>
        </w:rPr>
        <w:t xml:space="preserve"> ובין עורכי</w:t>
      </w:r>
      <w:r w:rsidR="001F5218" w:rsidRPr="001A0B66">
        <w:rPr>
          <w:rFonts w:ascii="FrankRuehl" w:hAnsi="FrankRuehl" w:cs="FrankRuehl"/>
          <w:sz w:val="28"/>
          <w:szCs w:val="28"/>
          <w:rtl/>
        </w:rPr>
        <w:t xml:space="preserve"> </w:t>
      </w:r>
      <w:r w:rsidR="007F4A2D" w:rsidRPr="001A0B66">
        <w:rPr>
          <w:rFonts w:ascii="FrankRuehl" w:hAnsi="FrankRuehl" w:cs="FrankRuehl"/>
          <w:sz w:val="28"/>
          <w:szCs w:val="28"/>
          <w:rtl/>
        </w:rPr>
        <w:t>דינו (הרגיל והמיוחד)</w:t>
      </w:r>
      <w:r w:rsidR="00264DF0" w:rsidRPr="001A0B66">
        <w:rPr>
          <w:rFonts w:ascii="FrankRuehl" w:hAnsi="FrankRuehl" w:cs="FrankRuehl"/>
          <w:sz w:val="28"/>
          <w:szCs w:val="28"/>
          <w:rtl/>
        </w:rPr>
        <w:t>.</w:t>
      </w:r>
      <w:r w:rsidR="007F4A2D" w:rsidRPr="001A0B66">
        <w:rPr>
          <w:rFonts w:ascii="FrankRuehl" w:hAnsi="FrankRuehl" w:cs="FrankRuehl"/>
          <w:sz w:val="28"/>
          <w:szCs w:val="28"/>
          <w:rtl/>
        </w:rPr>
        <w:t xml:space="preserve"> </w:t>
      </w:r>
      <w:r w:rsidR="00C55CF4" w:rsidRPr="001A0B66">
        <w:rPr>
          <w:rFonts w:ascii="FrankRuehl" w:hAnsi="FrankRuehl" w:cs="FrankRuehl"/>
          <w:sz w:val="28"/>
          <w:szCs w:val="28"/>
          <w:rtl/>
        </w:rPr>
        <w:t>ללא פירוט נדיב ככל האפשר של הטענות, נפגעת מא</w:t>
      </w:r>
      <w:r w:rsidR="00704948" w:rsidRPr="001A0B66">
        <w:rPr>
          <w:rFonts w:ascii="FrankRuehl" w:hAnsi="FrankRuehl" w:cs="FrankRuehl"/>
          <w:sz w:val="28"/>
          <w:szCs w:val="28"/>
          <w:rtl/>
        </w:rPr>
        <w:t>ו</w:t>
      </w:r>
      <w:r w:rsidR="00C55CF4" w:rsidRPr="001A0B66">
        <w:rPr>
          <w:rFonts w:ascii="FrankRuehl" w:hAnsi="FrankRuehl" w:cs="FrankRuehl"/>
          <w:sz w:val="28"/>
          <w:szCs w:val="28"/>
          <w:rtl/>
        </w:rPr>
        <w:t>ד יכולת</w:t>
      </w:r>
      <w:r w:rsidR="001F5218" w:rsidRPr="001A0B66">
        <w:rPr>
          <w:rFonts w:ascii="FrankRuehl" w:hAnsi="FrankRuehl" w:cs="FrankRuehl"/>
          <w:sz w:val="28"/>
          <w:szCs w:val="28"/>
          <w:rtl/>
        </w:rPr>
        <w:t>ה</w:t>
      </w:r>
      <w:r w:rsidR="00C55CF4" w:rsidRPr="001A0B66">
        <w:rPr>
          <w:rFonts w:ascii="FrankRuehl" w:hAnsi="FrankRuehl" w:cs="FrankRuehl"/>
          <w:sz w:val="28"/>
          <w:szCs w:val="28"/>
          <w:rtl/>
        </w:rPr>
        <w:t xml:space="preserve"> של עור</w:t>
      </w:r>
      <w:r w:rsidR="001177C6" w:rsidRPr="001A0B66">
        <w:rPr>
          <w:rFonts w:ascii="FrankRuehl" w:hAnsi="FrankRuehl" w:cs="FrankRuehl"/>
          <w:sz w:val="28"/>
          <w:szCs w:val="28"/>
          <w:rtl/>
        </w:rPr>
        <w:t>כת</w:t>
      </w:r>
      <w:r w:rsidR="00C55CF4" w:rsidRPr="001A0B66">
        <w:rPr>
          <w:rFonts w:ascii="FrankRuehl" w:hAnsi="FrankRuehl" w:cs="FrankRuehl"/>
          <w:sz w:val="28"/>
          <w:szCs w:val="28"/>
          <w:rtl/>
        </w:rPr>
        <w:t xml:space="preserve"> הדין המיוחד</w:t>
      </w:r>
      <w:r w:rsidR="001177C6" w:rsidRPr="001A0B66">
        <w:rPr>
          <w:rFonts w:ascii="FrankRuehl" w:hAnsi="FrankRuehl" w:cs="FrankRuehl"/>
          <w:sz w:val="28"/>
          <w:szCs w:val="28"/>
          <w:rtl/>
        </w:rPr>
        <w:t>ת</w:t>
      </w:r>
      <w:r w:rsidR="00C55CF4" w:rsidRPr="001A0B66">
        <w:rPr>
          <w:rFonts w:ascii="FrankRuehl" w:hAnsi="FrankRuehl" w:cs="FrankRuehl"/>
          <w:sz w:val="28"/>
          <w:szCs w:val="28"/>
          <w:rtl/>
        </w:rPr>
        <w:t xml:space="preserve"> לסייע </w:t>
      </w:r>
      <w:r w:rsidR="001F5218" w:rsidRPr="001A0B66">
        <w:rPr>
          <w:rFonts w:ascii="FrankRuehl" w:hAnsi="FrankRuehl" w:cs="FrankRuehl"/>
          <w:sz w:val="28"/>
          <w:szCs w:val="28"/>
          <w:rtl/>
        </w:rPr>
        <w:t>ל</w:t>
      </w:r>
      <w:r w:rsidR="00C55CF4" w:rsidRPr="001A0B66">
        <w:rPr>
          <w:rFonts w:ascii="FrankRuehl" w:hAnsi="FrankRuehl" w:cs="FrankRuehl"/>
          <w:sz w:val="28"/>
          <w:szCs w:val="28"/>
          <w:rtl/>
        </w:rPr>
        <w:t>הגנתו של האדם. ה</w:t>
      </w:r>
      <w:r w:rsidR="001177C6" w:rsidRPr="001A0B66">
        <w:rPr>
          <w:rFonts w:ascii="FrankRuehl" w:hAnsi="FrankRuehl" w:cs="FrankRuehl"/>
          <w:sz w:val="28"/>
          <w:szCs w:val="28"/>
          <w:rtl/>
        </w:rPr>
        <w:t>י</w:t>
      </w:r>
      <w:r w:rsidR="00C55CF4" w:rsidRPr="001A0B66">
        <w:rPr>
          <w:rFonts w:ascii="FrankRuehl" w:hAnsi="FrankRuehl" w:cs="FrankRuehl"/>
          <w:sz w:val="28"/>
          <w:szCs w:val="28"/>
          <w:rtl/>
        </w:rPr>
        <w:t xml:space="preserve">א </w:t>
      </w:r>
      <w:r w:rsidR="001177C6" w:rsidRPr="001A0B66">
        <w:rPr>
          <w:rFonts w:ascii="FrankRuehl" w:hAnsi="FrankRuehl" w:cs="FrankRuehl"/>
          <w:sz w:val="28"/>
          <w:szCs w:val="28"/>
          <w:rtl/>
        </w:rPr>
        <w:t>ת</w:t>
      </w:r>
      <w:r w:rsidR="00C55CF4" w:rsidRPr="001A0B66">
        <w:rPr>
          <w:rFonts w:ascii="FrankRuehl" w:hAnsi="FrankRuehl" w:cs="FrankRuehl"/>
          <w:sz w:val="28"/>
          <w:szCs w:val="28"/>
          <w:rtl/>
        </w:rPr>
        <w:t>תקשה לשמוע ממרש</w:t>
      </w:r>
      <w:r w:rsidR="001177C6" w:rsidRPr="001A0B66">
        <w:rPr>
          <w:rFonts w:ascii="FrankRuehl" w:hAnsi="FrankRuehl" w:cs="FrankRuehl"/>
          <w:sz w:val="28"/>
          <w:szCs w:val="28"/>
          <w:rtl/>
        </w:rPr>
        <w:t>ה</w:t>
      </w:r>
      <w:r w:rsidR="00C55CF4" w:rsidRPr="001A0B66">
        <w:rPr>
          <w:rFonts w:ascii="FrankRuehl" w:hAnsi="FrankRuehl" w:cs="FrankRuehl"/>
          <w:sz w:val="28"/>
          <w:szCs w:val="28"/>
          <w:rtl/>
        </w:rPr>
        <w:t xml:space="preserve"> פרטים </w:t>
      </w:r>
      <w:r w:rsidR="001F5218" w:rsidRPr="001A0B66">
        <w:rPr>
          <w:rFonts w:ascii="FrankRuehl" w:hAnsi="FrankRuehl" w:cs="FrankRuehl"/>
          <w:sz w:val="28"/>
          <w:szCs w:val="28"/>
          <w:rtl/>
        </w:rPr>
        <w:t xml:space="preserve">אשר </w:t>
      </w:r>
      <w:r w:rsidR="00C55CF4" w:rsidRPr="001A0B66">
        <w:rPr>
          <w:rFonts w:ascii="FrankRuehl" w:hAnsi="FrankRuehl" w:cs="FrankRuehl"/>
          <w:sz w:val="28"/>
          <w:szCs w:val="28"/>
          <w:rtl/>
        </w:rPr>
        <w:t>רלוונטיים לה</w:t>
      </w:r>
      <w:r w:rsidR="00BD14D6" w:rsidRPr="001A0B66">
        <w:rPr>
          <w:rFonts w:ascii="FrankRuehl" w:hAnsi="FrankRuehl" w:cs="FrankRuehl"/>
          <w:sz w:val="28"/>
          <w:szCs w:val="28"/>
          <w:rtl/>
        </w:rPr>
        <w:t>גנתו</w:t>
      </w:r>
      <w:r w:rsidR="00C55CF4" w:rsidRPr="001A0B66">
        <w:rPr>
          <w:rFonts w:ascii="FrankRuehl" w:hAnsi="FrankRuehl" w:cs="FrankRuehl"/>
          <w:sz w:val="28"/>
          <w:szCs w:val="28"/>
          <w:rtl/>
        </w:rPr>
        <w:t xml:space="preserve"> ולהשמיע בפני בית המשפט טענות</w:t>
      </w:r>
      <w:r w:rsidR="001F5218" w:rsidRPr="001A0B66">
        <w:rPr>
          <w:rFonts w:ascii="FrankRuehl" w:hAnsi="FrankRuehl" w:cs="FrankRuehl"/>
          <w:sz w:val="28"/>
          <w:szCs w:val="28"/>
          <w:rtl/>
        </w:rPr>
        <w:t xml:space="preserve"> </w:t>
      </w:r>
      <w:r w:rsidR="00C55CF4" w:rsidRPr="001A0B66">
        <w:rPr>
          <w:rFonts w:ascii="FrankRuehl" w:hAnsi="FrankRuehl" w:cs="FrankRuehl"/>
          <w:sz w:val="28"/>
          <w:szCs w:val="28"/>
          <w:rtl/>
        </w:rPr>
        <w:t xml:space="preserve">נגד </w:t>
      </w:r>
      <w:r w:rsidR="001F5218" w:rsidRPr="001A0B66">
        <w:rPr>
          <w:rFonts w:ascii="FrankRuehl" w:hAnsi="FrankRuehl" w:cs="FrankRuehl"/>
          <w:sz w:val="28"/>
          <w:szCs w:val="28"/>
          <w:rtl/>
        </w:rPr>
        <w:t xml:space="preserve">נוכח </w:t>
      </w:r>
      <w:r w:rsidR="00C55CF4" w:rsidRPr="001A0B66">
        <w:rPr>
          <w:rFonts w:ascii="FrankRuehl" w:hAnsi="FrankRuehl" w:cs="FrankRuehl"/>
          <w:sz w:val="28"/>
          <w:szCs w:val="28"/>
          <w:rtl/>
        </w:rPr>
        <w:t>עמדת המדינה</w:t>
      </w:r>
      <w:r w:rsidR="001F5218" w:rsidRPr="001A0B66">
        <w:rPr>
          <w:rFonts w:ascii="FrankRuehl" w:hAnsi="FrankRuehl" w:cs="FrankRuehl"/>
          <w:sz w:val="28"/>
          <w:szCs w:val="28"/>
          <w:rtl/>
        </w:rPr>
        <w:t xml:space="preserve">. כמו כן, </w:t>
      </w:r>
      <w:r w:rsidR="00C55CF4" w:rsidRPr="001A0B66">
        <w:rPr>
          <w:rFonts w:ascii="FrankRuehl" w:hAnsi="FrankRuehl" w:cs="FrankRuehl"/>
          <w:sz w:val="28"/>
          <w:szCs w:val="28"/>
          <w:rtl/>
        </w:rPr>
        <w:t>ת</w:t>
      </w:r>
      <w:r w:rsidR="001F5218" w:rsidRPr="001A0B66">
        <w:rPr>
          <w:rFonts w:ascii="FrankRuehl" w:hAnsi="FrankRuehl" w:cs="FrankRuehl"/>
          <w:sz w:val="28"/>
          <w:szCs w:val="28"/>
          <w:rtl/>
        </w:rPr>
        <w:t>ִ</w:t>
      </w:r>
      <w:r w:rsidR="00C55CF4" w:rsidRPr="001A0B66">
        <w:rPr>
          <w:rFonts w:ascii="FrankRuehl" w:hAnsi="FrankRuehl" w:cs="FrankRuehl"/>
          <w:sz w:val="28"/>
          <w:szCs w:val="28"/>
          <w:rtl/>
        </w:rPr>
        <w:t>קשה עלי</w:t>
      </w:r>
      <w:r w:rsidR="001177C6" w:rsidRPr="001A0B66">
        <w:rPr>
          <w:rFonts w:ascii="FrankRuehl" w:hAnsi="FrankRuehl" w:cs="FrankRuehl"/>
          <w:sz w:val="28"/>
          <w:szCs w:val="28"/>
          <w:rtl/>
        </w:rPr>
        <w:t>ה</w:t>
      </w:r>
      <w:r w:rsidR="00C55CF4" w:rsidRPr="001A0B66">
        <w:rPr>
          <w:rFonts w:ascii="FrankRuehl" w:hAnsi="FrankRuehl" w:cs="FrankRuehl"/>
          <w:sz w:val="28"/>
          <w:szCs w:val="28"/>
          <w:rtl/>
        </w:rPr>
        <w:t xml:space="preserve"> מלאכת הזיהוי של אותן ראיות חסויות שכדאי להשקיע מאמץ מיוחד בשכנוע בית המשפט לבטל את חסיונן או לפרשן </w:t>
      </w:r>
      <w:r w:rsidR="001F5218" w:rsidRPr="001A0B66">
        <w:rPr>
          <w:rFonts w:ascii="FrankRuehl" w:hAnsi="FrankRuehl" w:cs="FrankRuehl"/>
          <w:sz w:val="28"/>
          <w:szCs w:val="28"/>
          <w:rtl/>
        </w:rPr>
        <w:t>ב</w:t>
      </w:r>
      <w:r w:rsidR="00C55CF4" w:rsidRPr="001A0B66">
        <w:rPr>
          <w:rFonts w:ascii="FrankRuehl" w:hAnsi="FrankRuehl" w:cs="FrankRuehl"/>
          <w:sz w:val="28"/>
          <w:szCs w:val="28"/>
          <w:rtl/>
        </w:rPr>
        <w:t>פרשנות</w:t>
      </w:r>
      <w:r w:rsidR="001F5218" w:rsidRPr="001A0B66">
        <w:rPr>
          <w:rFonts w:ascii="FrankRuehl" w:hAnsi="FrankRuehl" w:cs="FrankRuehl"/>
          <w:sz w:val="28"/>
          <w:szCs w:val="28"/>
          <w:rtl/>
        </w:rPr>
        <w:t xml:space="preserve"> אחרת מזו שנתנה </w:t>
      </w:r>
      <w:r w:rsidR="00C55CF4" w:rsidRPr="001A0B66">
        <w:rPr>
          <w:rFonts w:ascii="FrankRuehl" w:hAnsi="FrankRuehl" w:cs="FrankRuehl"/>
          <w:sz w:val="28"/>
          <w:szCs w:val="28"/>
          <w:rtl/>
        </w:rPr>
        <w:t xml:space="preserve">להן המדינה. </w:t>
      </w:r>
    </w:p>
    <w:p w14:paraId="575F6DEB" w14:textId="77777777" w:rsidR="000F4CAF" w:rsidRPr="001A0B66" w:rsidRDefault="007F4A2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w:t>
      </w:r>
      <w:r w:rsidR="00603AC7" w:rsidRPr="001A0B66">
        <w:rPr>
          <w:rFonts w:ascii="FrankRuehl" w:hAnsi="FrankRuehl" w:cs="FrankRuehl"/>
          <w:sz w:val="28"/>
          <w:szCs w:val="28"/>
          <w:rtl/>
        </w:rPr>
        <w:t xml:space="preserve">דרישה </w:t>
      </w:r>
      <w:r w:rsidRPr="001A0B66">
        <w:rPr>
          <w:rFonts w:ascii="FrankRuehl" w:hAnsi="FrankRuehl" w:cs="FrankRuehl"/>
          <w:sz w:val="28"/>
          <w:szCs w:val="28"/>
          <w:rtl/>
        </w:rPr>
        <w:t>ל</w:t>
      </w:r>
      <w:r w:rsidR="00A12B37" w:rsidRPr="001A0B66">
        <w:rPr>
          <w:rFonts w:ascii="FrankRuehl" w:hAnsi="FrankRuehl" w:cs="FrankRuehl"/>
          <w:sz w:val="28"/>
          <w:szCs w:val="28"/>
          <w:rtl/>
        </w:rPr>
        <w:t>פרפרזה</w:t>
      </w:r>
      <w:r w:rsidR="00603AC7" w:rsidRPr="001A0B66">
        <w:rPr>
          <w:rFonts w:ascii="FrankRuehl" w:hAnsi="FrankRuehl" w:cs="FrankRuehl"/>
          <w:sz w:val="28"/>
          <w:szCs w:val="28"/>
          <w:rtl/>
        </w:rPr>
        <w:t xml:space="preserve"> </w:t>
      </w:r>
      <w:r w:rsidR="00AA7617" w:rsidRPr="001A0B66">
        <w:rPr>
          <w:rFonts w:ascii="FrankRuehl" w:hAnsi="FrankRuehl" w:cs="FrankRuehl"/>
          <w:sz w:val="28"/>
          <w:szCs w:val="28"/>
          <w:rtl/>
        </w:rPr>
        <w:t xml:space="preserve">עוגנה לאחרונה </w:t>
      </w:r>
      <w:r w:rsidR="00FA5B63" w:rsidRPr="001A0B66">
        <w:rPr>
          <w:rFonts w:ascii="FrankRuehl" w:hAnsi="FrankRuehl" w:cs="FrankRuehl"/>
          <w:sz w:val="28"/>
          <w:szCs w:val="28"/>
          <w:rtl/>
        </w:rPr>
        <w:t>ב</w:t>
      </w:r>
      <w:r w:rsidR="00FE13F5" w:rsidRPr="001A0B66">
        <w:rPr>
          <w:rFonts w:ascii="FrankRuehl" w:hAnsi="FrankRuehl" w:cs="FrankRuehl"/>
          <w:sz w:val="28"/>
          <w:szCs w:val="28"/>
          <w:rtl/>
        </w:rPr>
        <w:t>סעיף 65(ג) ל</w:t>
      </w:r>
      <w:r w:rsidR="00FA5B63" w:rsidRPr="001A0B66">
        <w:rPr>
          <w:rFonts w:ascii="FrankRuehl" w:hAnsi="FrankRuehl" w:cs="FrankRuehl"/>
          <w:sz w:val="28"/>
          <w:szCs w:val="28"/>
          <w:rtl/>
        </w:rPr>
        <w:t xml:space="preserve">חוק המאבק בטרור, </w:t>
      </w:r>
      <w:r w:rsidR="00FE13F5" w:rsidRPr="001A0B66">
        <w:rPr>
          <w:rFonts w:ascii="FrankRuehl" w:hAnsi="FrankRuehl" w:cs="FrankRuehl"/>
          <w:sz w:val="28"/>
          <w:szCs w:val="28"/>
          <w:rtl/>
        </w:rPr>
        <w:t>ה</w:t>
      </w:r>
      <w:r w:rsidR="00FA5B63" w:rsidRPr="001A0B66">
        <w:rPr>
          <w:rFonts w:ascii="FrankRuehl" w:hAnsi="FrankRuehl" w:cs="FrankRuehl"/>
          <w:sz w:val="28"/>
          <w:szCs w:val="28"/>
          <w:rtl/>
        </w:rPr>
        <w:t>תשע"ו-2016</w:t>
      </w:r>
      <w:r w:rsidR="00FE13F5" w:rsidRPr="001A0B66">
        <w:rPr>
          <w:rFonts w:ascii="FrankRuehl" w:hAnsi="FrankRuehl" w:cs="FrankRuehl"/>
          <w:sz w:val="28"/>
          <w:szCs w:val="28"/>
          <w:rtl/>
        </w:rPr>
        <w:t xml:space="preserve"> </w:t>
      </w:r>
      <w:r w:rsidR="00123FA6" w:rsidRPr="001A0B66">
        <w:rPr>
          <w:rFonts w:ascii="FrankRuehl" w:hAnsi="FrankRuehl" w:cs="FrankRuehl"/>
          <w:sz w:val="28"/>
          <w:szCs w:val="28"/>
          <w:rtl/>
        </w:rPr>
        <w:t>(בהקשר של הכרזה על ארגון טרור וצווי תפיסה מנהליים)</w:t>
      </w:r>
      <w:r w:rsidR="001F5218" w:rsidRPr="001A0B66">
        <w:rPr>
          <w:rFonts w:ascii="FrankRuehl" w:hAnsi="FrankRuehl" w:cs="FrankRuehl"/>
          <w:sz w:val="28"/>
          <w:szCs w:val="28"/>
          <w:rtl/>
        </w:rPr>
        <w:t>,</w:t>
      </w:r>
      <w:r w:rsidR="00123FA6" w:rsidRPr="001A0B66">
        <w:rPr>
          <w:rFonts w:ascii="FrankRuehl" w:hAnsi="FrankRuehl" w:cs="FrankRuehl"/>
          <w:sz w:val="28"/>
          <w:szCs w:val="28"/>
          <w:rtl/>
        </w:rPr>
        <w:t xml:space="preserve"> </w:t>
      </w:r>
      <w:r w:rsidR="00FE13F5" w:rsidRPr="001A0B66">
        <w:rPr>
          <w:rFonts w:ascii="FrankRuehl" w:hAnsi="FrankRuehl" w:cs="FrankRuehl"/>
          <w:sz w:val="28"/>
          <w:szCs w:val="28"/>
          <w:rtl/>
        </w:rPr>
        <w:t xml:space="preserve">כעניין </w:t>
      </w:r>
      <w:r w:rsidR="001F5218" w:rsidRPr="001A0B66">
        <w:rPr>
          <w:rFonts w:ascii="FrankRuehl" w:hAnsi="FrankRuehl" w:cs="FrankRuehl"/>
          <w:sz w:val="28"/>
          <w:szCs w:val="28"/>
          <w:rtl/>
        </w:rPr>
        <w:t>הנתון ל</w:t>
      </w:r>
      <w:r w:rsidR="00FE13F5" w:rsidRPr="001A0B66">
        <w:rPr>
          <w:rFonts w:ascii="FrankRuehl" w:hAnsi="FrankRuehl" w:cs="FrankRuehl"/>
          <w:sz w:val="28"/>
          <w:szCs w:val="28"/>
          <w:rtl/>
        </w:rPr>
        <w:t xml:space="preserve">שיקול דעת </w:t>
      </w:r>
      <w:r w:rsidR="00283109" w:rsidRPr="001A0B66">
        <w:rPr>
          <w:rFonts w:ascii="FrankRuehl" w:hAnsi="FrankRuehl" w:cs="FrankRuehl"/>
          <w:sz w:val="28"/>
          <w:szCs w:val="28"/>
          <w:rtl/>
        </w:rPr>
        <w:t>בית המשפט</w:t>
      </w:r>
      <w:r w:rsidR="00FA5B63" w:rsidRPr="001A0B66">
        <w:rPr>
          <w:rFonts w:ascii="FrankRuehl" w:hAnsi="FrankRuehl" w:cs="FrankRuehl"/>
          <w:sz w:val="28"/>
          <w:szCs w:val="28"/>
          <w:rtl/>
        </w:rPr>
        <w:t xml:space="preserve">: </w:t>
      </w:r>
    </w:p>
    <w:p w14:paraId="0308A68B" w14:textId="77777777" w:rsidR="00BC1AC9" w:rsidRPr="001A0B66" w:rsidRDefault="001B21F5"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B16D03" w:rsidRPr="001A0B66">
        <w:rPr>
          <w:rFonts w:ascii="FrankRuehl" w:hAnsi="FrankRuehl" w:cs="FrankRuehl"/>
          <w:sz w:val="28"/>
          <w:szCs w:val="28"/>
          <w:rtl/>
        </w:rPr>
        <w:t xml:space="preserve">החליט בית המשפט לקבל ראיה חסויה, יודיע לצד השני על כוונתו לעשות כן, ורשאי הוא להורות על העברת תמצית של הראיה החסויה לצד השני או לבא כוחו, ככל שניתן לעשות כן בלי לפגוע באינטרס שבשלו נקבע </w:t>
      </w:r>
      <w:r w:rsidR="00201EC8" w:rsidRPr="001A0B66">
        <w:rPr>
          <w:rFonts w:ascii="FrankRuehl" w:hAnsi="FrankRuehl" w:cs="FrankRuehl"/>
          <w:sz w:val="28"/>
          <w:szCs w:val="28"/>
          <w:rtl/>
        </w:rPr>
        <w:t>[</w:t>
      </w:r>
      <w:r w:rsidR="00B16D03" w:rsidRPr="001A0B66">
        <w:rPr>
          <w:rFonts w:ascii="FrankRuehl" w:hAnsi="FrankRuehl" w:cs="FrankRuehl"/>
          <w:sz w:val="28"/>
          <w:szCs w:val="28"/>
          <w:rtl/>
        </w:rPr>
        <w:t>...</w:t>
      </w:r>
      <w:r w:rsidR="00201EC8" w:rsidRPr="001A0B66">
        <w:rPr>
          <w:rFonts w:ascii="FrankRuehl" w:hAnsi="FrankRuehl" w:cs="FrankRuehl"/>
          <w:sz w:val="28"/>
          <w:szCs w:val="28"/>
          <w:rtl/>
        </w:rPr>
        <w:t>]</w:t>
      </w:r>
      <w:r w:rsidR="00B16D03" w:rsidRPr="001A0B66">
        <w:rPr>
          <w:rFonts w:ascii="FrankRuehl" w:hAnsi="FrankRuehl" w:cs="FrankRuehl"/>
          <w:sz w:val="28"/>
          <w:szCs w:val="28"/>
          <w:rtl/>
        </w:rPr>
        <w:t xml:space="preserve"> כי הראיה חסויה</w:t>
      </w:r>
      <w:r w:rsidR="00FE13F5" w:rsidRPr="001A0B66">
        <w:rPr>
          <w:rFonts w:ascii="FrankRuehl" w:hAnsi="FrankRuehl" w:cs="FrankRuehl"/>
          <w:sz w:val="28"/>
          <w:szCs w:val="28"/>
          <w:rtl/>
        </w:rPr>
        <w:t>.</w:t>
      </w:r>
      <w:r w:rsidR="005C05BC" w:rsidRPr="001A0B66">
        <w:rPr>
          <w:rStyle w:val="FootnoteReference"/>
          <w:rFonts w:ascii="FrankRuehl" w:hAnsi="FrankRuehl" w:cs="FrankRuehl"/>
          <w:sz w:val="28"/>
          <w:szCs w:val="28"/>
          <w:rtl/>
        </w:rPr>
        <w:footnoteReference w:id="75"/>
      </w:r>
      <w:r w:rsidR="00AA7617" w:rsidRPr="001A0B66">
        <w:rPr>
          <w:rFonts w:ascii="FrankRuehl" w:hAnsi="FrankRuehl" w:cs="FrankRuehl"/>
          <w:sz w:val="28"/>
          <w:szCs w:val="28"/>
          <w:rtl/>
        </w:rPr>
        <w:t xml:space="preserve"> </w:t>
      </w:r>
    </w:p>
    <w:p w14:paraId="7DE9D19F" w14:textId="77777777" w:rsidR="0060110B" w:rsidRPr="001A0B66" w:rsidRDefault="00671E45"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סמכות</w:t>
      </w:r>
      <w:r w:rsidR="00335F31" w:rsidRPr="001A0B66">
        <w:rPr>
          <w:rFonts w:ascii="FrankRuehl" w:hAnsi="FrankRuehl" w:cs="FrankRuehl"/>
          <w:sz w:val="28"/>
          <w:szCs w:val="28"/>
          <w:rtl/>
        </w:rPr>
        <w:t xml:space="preserve"> זו, שהפעלתה היא עניין שבשיקול דעת, צריכה </w:t>
      </w:r>
      <w:r w:rsidR="00892675" w:rsidRPr="001A0B66">
        <w:rPr>
          <w:rFonts w:ascii="FrankRuehl" w:hAnsi="FrankRuehl" w:cs="FrankRuehl"/>
          <w:sz w:val="28"/>
          <w:szCs w:val="28"/>
          <w:rtl/>
        </w:rPr>
        <w:t xml:space="preserve">לטעמנו </w:t>
      </w:r>
      <w:r w:rsidR="009502E2" w:rsidRPr="001A0B66">
        <w:rPr>
          <w:rFonts w:ascii="FrankRuehl" w:hAnsi="FrankRuehl" w:cs="FrankRuehl"/>
          <w:sz w:val="28"/>
          <w:szCs w:val="28"/>
          <w:rtl/>
        </w:rPr>
        <w:t>להתנסח כ</w:t>
      </w:r>
      <w:r w:rsidR="00925772" w:rsidRPr="001A0B66">
        <w:rPr>
          <w:rFonts w:ascii="FrankRuehl" w:hAnsi="FrankRuehl" w:cs="FrankRuehl"/>
          <w:b/>
          <w:bCs/>
          <w:sz w:val="28"/>
          <w:szCs w:val="28"/>
          <w:rtl/>
        </w:rPr>
        <w:t>חובה</w:t>
      </w:r>
      <w:r w:rsidR="00892675" w:rsidRPr="001A0B66">
        <w:rPr>
          <w:rFonts w:ascii="FrankRuehl" w:hAnsi="FrankRuehl" w:cs="FrankRuehl"/>
          <w:b/>
          <w:bCs/>
          <w:sz w:val="28"/>
          <w:szCs w:val="28"/>
          <w:rtl/>
        </w:rPr>
        <w:t xml:space="preserve"> </w:t>
      </w:r>
      <w:r w:rsidR="000B2EF5" w:rsidRPr="001A0B66">
        <w:rPr>
          <w:rFonts w:ascii="FrankRuehl" w:hAnsi="FrankRuehl" w:cs="FrankRuehl"/>
          <w:sz w:val="28"/>
          <w:szCs w:val="28"/>
          <w:rtl/>
        </w:rPr>
        <w:t>המוטל</w:t>
      </w:r>
      <w:r w:rsidR="00892675" w:rsidRPr="001A0B66">
        <w:rPr>
          <w:rFonts w:ascii="FrankRuehl" w:hAnsi="FrankRuehl" w:cs="FrankRuehl"/>
          <w:sz w:val="28"/>
          <w:szCs w:val="28"/>
          <w:rtl/>
        </w:rPr>
        <w:t>ת</w:t>
      </w:r>
      <w:r w:rsidR="000B2EF5" w:rsidRPr="001A0B66">
        <w:rPr>
          <w:rFonts w:ascii="FrankRuehl" w:hAnsi="FrankRuehl" w:cs="FrankRuehl"/>
          <w:sz w:val="28"/>
          <w:szCs w:val="28"/>
          <w:rtl/>
        </w:rPr>
        <w:t xml:space="preserve"> על רשויות הביטחון ופרקליטיהן</w:t>
      </w:r>
      <w:r w:rsidR="00925772" w:rsidRPr="001A0B66">
        <w:rPr>
          <w:rFonts w:ascii="FrankRuehl" w:hAnsi="FrankRuehl" w:cs="FrankRuehl"/>
          <w:sz w:val="28"/>
          <w:szCs w:val="28"/>
          <w:rtl/>
        </w:rPr>
        <w:t>.</w:t>
      </w:r>
      <w:r w:rsidR="00335E6E" w:rsidRPr="001A0B66">
        <w:rPr>
          <w:rFonts w:ascii="FrankRuehl" w:hAnsi="FrankRuehl" w:cs="FrankRuehl"/>
          <w:sz w:val="28"/>
          <w:szCs w:val="28"/>
          <w:rtl/>
        </w:rPr>
        <w:t xml:space="preserve"> </w:t>
      </w:r>
      <w:r w:rsidR="0049035B" w:rsidRPr="001A0B66">
        <w:rPr>
          <w:rFonts w:ascii="FrankRuehl" w:hAnsi="FrankRuehl" w:cs="FrankRuehl"/>
          <w:sz w:val="28"/>
          <w:szCs w:val="28"/>
          <w:rtl/>
        </w:rPr>
        <w:t>בבית המשפט האירופי לזכויות אדם נדונה דרישת ה</w:t>
      </w:r>
      <w:r w:rsidR="00A12B37" w:rsidRPr="001A0B66">
        <w:rPr>
          <w:rFonts w:ascii="FrankRuehl" w:hAnsi="FrankRuehl" w:cs="FrankRuehl"/>
          <w:sz w:val="28"/>
          <w:szCs w:val="28"/>
          <w:rtl/>
        </w:rPr>
        <w:t>פרפרזה</w:t>
      </w:r>
      <w:r w:rsidR="0049035B" w:rsidRPr="001A0B66">
        <w:rPr>
          <w:rFonts w:ascii="FrankRuehl" w:hAnsi="FrankRuehl" w:cs="FrankRuehl"/>
          <w:sz w:val="28"/>
          <w:szCs w:val="28"/>
          <w:rtl/>
        </w:rPr>
        <w:t xml:space="preserve"> במסגרת פרשת </w:t>
      </w:r>
      <w:r w:rsidR="00EB0727" w:rsidRPr="001A0B66">
        <w:rPr>
          <w:rFonts w:ascii="FrankRuehl" w:hAnsi="FrankRuehl" w:cs="FrankRuehl"/>
          <w:i/>
          <w:iCs/>
          <w:sz w:val="28"/>
          <w:szCs w:val="28"/>
          <w:rtl/>
        </w:rPr>
        <w:t xml:space="preserve">A. v. </w:t>
      </w:r>
      <w:proofErr w:type="spellStart"/>
      <w:r w:rsidR="00EB0727" w:rsidRPr="001A0B66">
        <w:rPr>
          <w:rFonts w:ascii="FrankRuehl" w:hAnsi="FrankRuehl" w:cs="FrankRuehl"/>
          <w:i/>
          <w:iCs/>
          <w:sz w:val="28"/>
          <w:szCs w:val="28"/>
          <w:rtl/>
        </w:rPr>
        <w:t>United</w:t>
      </w:r>
      <w:proofErr w:type="spellEnd"/>
      <w:r w:rsidR="00EB0727" w:rsidRPr="001A0B66">
        <w:rPr>
          <w:rFonts w:ascii="FrankRuehl" w:hAnsi="FrankRuehl" w:cs="FrankRuehl"/>
          <w:i/>
          <w:iCs/>
          <w:sz w:val="28"/>
          <w:szCs w:val="28"/>
          <w:rtl/>
        </w:rPr>
        <w:t xml:space="preserve"> </w:t>
      </w:r>
      <w:proofErr w:type="spellStart"/>
      <w:r w:rsidR="00EB0727" w:rsidRPr="001A0B66">
        <w:rPr>
          <w:rFonts w:ascii="FrankRuehl" w:hAnsi="FrankRuehl" w:cs="FrankRuehl"/>
          <w:i/>
          <w:iCs/>
          <w:sz w:val="28"/>
          <w:szCs w:val="28"/>
          <w:rtl/>
        </w:rPr>
        <w:t>Kingdom</w:t>
      </w:r>
      <w:proofErr w:type="spellEnd"/>
      <w:r w:rsidR="00CB148D" w:rsidRPr="001A0B66">
        <w:rPr>
          <w:rFonts w:ascii="FrankRuehl" w:hAnsi="FrankRuehl" w:cs="FrankRuehl"/>
          <w:sz w:val="28"/>
          <w:szCs w:val="28"/>
          <w:rtl/>
        </w:rPr>
        <w:t>, ובעקבותיה</w:t>
      </w:r>
      <w:r w:rsidR="00EB0727" w:rsidRPr="001A0B66">
        <w:rPr>
          <w:rFonts w:ascii="FrankRuehl" w:hAnsi="FrankRuehl" w:cs="FrankRuehl"/>
          <w:sz w:val="28"/>
          <w:szCs w:val="28"/>
          <w:rtl/>
        </w:rPr>
        <w:t xml:space="preserve"> קבעו</w:t>
      </w:r>
      <w:r w:rsidR="001417DF" w:rsidRPr="001A0B66">
        <w:rPr>
          <w:rFonts w:ascii="FrankRuehl" w:hAnsi="FrankRuehl" w:cs="FrankRuehl"/>
          <w:sz w:val="28"/>
          <w:szCs w:val="28"/>
          <w:rtl/>
        </w:rPr>
        <w:t xml:space="preserve"> בית המשפט ובית הלורדים </w:t>
      </w:r>
      <w:r w:rsidR="00417973" w:rsidRPr="001A0B66">
        <w:rPr>
          <w:rFonts w:ascii="FrankRuehl" w:hAnsi="FrankRuehl" w:cs="FrankRuehl"/>
          <w:sz w:val="28"/>
          <w:szCs w:val="28"/>
          <w:rtl/>
        </w:rPr>
        <w:t xml:space="preserve">באופן </w:t>
      </w:r>
      <w:r w:rsidR="00056218" w:rsidRPr="001A0B66">
        <w:rPr>
          <w:rFonts w:ascii="FrankRuehl" w:hAnsi="FrankRuehl" w:cs="FrankRuehl"/>
          <w:sz w:val="28"/>
          <w:szCs w:val="28"/>
          <w:rtl/>
        </w:rPr>
        <w:t>החלטי</w:t>
      </w:r>
      <w:r w:rsidR="00AA7617" w:rsidRPr="001A0B66">
        <w:rPr>
          <w:rFonts w:ascii="FrankRuehl" w:hAnsi="FrankRuehl" w:cs="FrankRuehl"/>
          <w:sz w:val="28"/>
          <w:szCs w:val="28"/>
          <w:rtl/>
        </w:rPr>
        <w:t xml:space="preserve"> </w:t>
      </w:r>
      <w:r w:rsidR="00137C92" w:rsidRPr="001A0B66">
        <w:rPr>
          <w:rFonts w:ascii="FrankRuehl" w:hAnsi="FrankRuehl" w:cs="FrankRuehl"/>
          <w:sz w:val="28"/>
          <w:szCs w:val="28"/>
          <w:rtl/>
        </w:rPr>
        <w:t xml:space="preserve">כי </w:t>
      </w:r>
      <w:r w:rsidR="00AA7617" w:rsidRPr="001A0B66">
        <w:rPr>
          <w:rFonts w:ascii="FrankRuehl" w:hAnsi="FrankRuehl" w:cs="FrankRuehl"/>
          <w:sz w:val="28"/>
          <w:szCs w:val="28"/>
          <w:rtl/>
        </w:rPr>
        <w:t>מינויו של עורך</w:t>
      </w:r>
      <w:r w:rsidR="00844EAA" w:rsidRPr="001A0B66">
        <w:rPr>
          <w:rFonts w:ascii="FrankRuehl" w:hAnsi="FrankRuehl" w:cs="FrankRuehl"/>
          <w:sz w:val="28"/>
          <w:szCs w:val="28"/>
          <w:rtl/>
        </w:rPr>
        <w:t xml:space="preserve"> </w:t>
      </w:r>
      <w:r w:rsidR="00417973" w:rsidRPr="001A0B66">
        <w:rPr>
          <w:rFonts w:ascii="FrankRuehl" w:hAnsi="FrankRuehl" w:cs="FrankRuehl"/>
          <w:sz w:val="28"/>
          <w:szCs w:val="28"/>
          <w:rtl/>
        </w:rPr>
        <w:t xml:space="preserve">דין מיוחד </w:t>
      </w:r>
      <w:r w:rsidR="00417973" w:rsidRPr="001A0B66">
        <w:rPr>
          <w:rFonts w:ascii="FrankRuehl" w:hAnsi="FrankRuehl" w:cs="FrankRuehl"/>
          <w:b/>
          <w:bCs/>
          <w:sz w:val="28"/>
          <w:szCs w:val="28"/>
          <w:rtl/>
        </w:rPr>
        <w:t>נוסף</w:t>
      </w:r>
      <w:r w:rsidR="00417973" w:rsidRPr="001A0B66">
        <w:rPr>
          <w:rFonts w:ascii="FrankRuehl" w:hAnsi="FrankRuehl" w:cs="FrankRuehl"/>
          <w:sz w:val="28"/>
          <w:szCs w:val="28"/>
          <w:rtl/>
        </w:rPr>
        <w:t xml:space="preserve"> </w:t>
      </w:r>
      <w:r w:rsidR="00EB0727" w:rsidRPr="001A0B66">
        <w:rPr>
          <w:rFonts w:ascii="FrankRuehl" w:hAnsi="FrankRuehl" w:cs="FrankRuehl"/>
          <w:b/>
          <w:bCs/>
          <w:sz w:val="28"/>
          <w:szCs w:val="28"/>
          <w:rtl/>
        </w:rPr>
        <w:t>ע</w:t>
      </w:r>
      <w:r w:rsidR="00417973" w:rsidRPr="001A0B66">
        <w:rPr>
          <w:rFonts w:ascii="FrankRuehl" w:hAnsi="FrankRuehl" w:cs="FrankRuehl"/>
          <w:b/>
          <w:bCs/>
          <w:sz w:val="28"/>
          <w:szCs w:val="28"/>
          <w:rtl/>
        </w:rPr>
        <w:t>ל</w:t>
      </w:r>
      <w:r w:rsidR="00EB0727" w:rsidRPr="001A0B66">
        <w:rPr>
          <w:rFonts w:ascii="FrankRuehl" w:hAnsi="FrankRuehl" w:cs="FrankRuehl"/>
          <w:b/>
          <w:bCs/>
          <w:sz w:val="28"/>
          <w:szCs w:val="28"/>
          <w:rtl/>
        </w:rPr>
        <w:t xml:space="preserve"> </w:t>
      </w:r>
      <w:r w:rsidR="00417973" w:rsidRPr="001A0B66">
        <w:rPr>
          <w:rFonts w:ascii="FrankRuehl" w:hAnsi="FrankRuehl" w:cs="FrankRuehl"/>
          <w:sz w:val="28"/>
          <w:szCs w:val="28"/>
          <w:rtl/>
        </w:rPr>
        <w:t>מילוי הדרישה הבסיסית להודיע ל</w:t>
      </w:r>
      <w:r w:rsidR="0060110B" w:rsidRPr="001A0B66">
        <w:rPr>
          <w:rFonts w:ascii="FrankRuehl" w:hAnsi="FrankRuehl" w:cs="FrankRuehl"/>
          <w:sz w:val="28"/>
          <w:szCs w:val="28"/>
          <w:rtl/>
        </w:rPr>
        <w:t>אדם</w:t>
      </w:r>
      <w:r w:rsidR="00417973" w:rsidRPr="001A0B66">
        <w:rPr>
          <w:rFonts w:ascii="FrankRuehl" w:hAnsi="FrankRuehl" w:cs="FrankRuehl"/>
          <w:sz w:val="28"/>
          <w:szCs w:val="28"/>
          <w:rtl/>
        </w:rPr>
        <w:t xml:space="preserve"> (ולבא כוחו) את מהות הטענות נגדו</w:t>
      </w:r>
      <w:r w:rsidR="00137C92" w:rsidRPr="001A0B66">
        <w:rPr>
          <w:rFonts w:ascii="FrankRuehl" w:hAnsi="FrankRuehl" w:cs="FrankRuehl"/>
          <w:sz w:val="28"/>
          <w:szCs w:val="28"/>
          <w:rtl/>
        </w:rPr>
        <w:t>; עוד נקבע</w:t>
      </w:r>
      <w:r w:rsidR="00417973" w:rsidRPr="001A0B66">
        <w:rPr>
          <w:rFonts w:ascii="FrankRuehl" w:hAnsi="FrankRuehl" w:cs="FrankRuehl"/>
          <w:sz w:val="28"/>
          <w:szCs w:val="28"/>
          <w:rtl/>
        </w:rPr>
        <w:t xml:space="preserve"> כי החובה היא לספק מידע במידה שמאפשרת ל</w:t>
      </w:r>
      <w:r w:rsidR="0060110B" w:rsidRPr="001A0B66">
        <w:rPr>
          <w:rFonts w:ascii="FrankRuehl" w:hAnsi="FrankRuehl" w:cs="FrankRuehl"/>
          <w:sz w:val="28"/>
          <w:szCs w:val="28"/>
          <w:rtl/>
        </w:rPr>
        <w:t>אדם</w:t>
      </w:r>
      <w:r w:rsidR="00417973" w:rsidRPr="001A0B66">
        <w:rPr>
          <w:rFonts w:ascii="FrankRuehl" w:hAnsi="FrankRuehl" w:cs="FrankRuehl"/>
          <w:sz w:val="28"/>
          <w:szCs w:val="28"/>
          <w:rtl/>
        </w:rPr>
        <w:t xml:space="preserve"> לתת </w:t>
      </w:r>
      <w:r w:rsidR="00EB0727" w:rsidRPr="001A0B66">
        <w:rPr>
          <w:rFonts w:ascii="FrankRuehl" w:hAnsi="FrankRuehl" w:cs="FrankRuehl"/>
          <w:sz w:val="28"/>
          <w:szCs w:val="28"/>
          <w:rtl/>
        </w:rPr>
        <w:t xml:space="preserve">לעורך הדין </w:t>
      </w:r>
      <w:r w:rsidR="00417973" w:rsidRPr="001A0B66">
        <w:rPr>
          <w:rFonts w:ascii="FrankRuehl" w:hAnsi="FrankRuehl" w:cs="FrankRuehl"/>
          <w:sz w:val="28"/>
          <w:szCs w:val="28"/>
          <w:rtl/>
        </w:rPr>
        <w:t>הוראות אפקטיביות.</w:t>
      </w:r>
      <w:bookmarkStart w:id="70" w:name="_Ref53031872"/>
      <w:r w:rsidR="00417973" w:rsidRPr="001A0B66">
        <w:rPr>
          <w:rStyle w:val="FootnoteReference"/>
          <w:rFonts w:ascii="FrankRuehl" w:hAnsi="FrankRuehl" w:cs="FrankRuehl"/>
          <w:sz w:val="28"/>
          <w:szCs w:val="28"/>
          <w:rtl/>
        </w:rPr>
        <w:footnoteReference w:id="76"/>
      </w:r>
      <w:bookmarkEnd w:id="70"/>
      <w:r w:rsidR="0049035B" w:rsidRPr="001A0B66">
        <w:rPr>
          <w:rFonts w:ascii="FrankRuehl" w:hAnsi="FrankRuehl" w:cs="FrankRuehl"/>
          <w:sz w:val="28"/>
          <w:szCs w:val="28"/>
          <w:rtl/>
        </w:rPr>
        <w:t xml:space="preserve"> </w:t>
      </w:r>
      <w:r w:rsidR="00364F56" w:rsidRPr="001A0B66">
        <w:rPr>
          <w:rFonts w:ascii="FrankRuehl" w:hAnsi="FrankRuehl" w:cs="FrankRuehl"/>
          <w:sz w:val="28"/>
          <w:szCs w:val="28"/>
          <w:rtl/>
        </w:rPr>
        <w:t xml:space="preserve">במילים אחרות, הפסיקה האירופית התייחסה לדרישת תמצית המידע </w:t>
      </w:r>
      <w:r w:rsidR="00056218" w:rsidRPr="001A0B66">
        <w:rPr>
          <w:rFonts w:ascii="FrankRuehl" w:hAnsi="FrankRuehl" w:cs="FrankRuehl"/>
          <w:sz w:val="28"/>
          <w:szCs w:val="28"/>
          <w:rtl/>
        </w:rPr>
        <w:t>באופן כפול</w:t>
      </w:r>
      <w:r w:rsidR="00137C92" w:rsidRPr="001A0B66">
        <w:rPr>
          <w:rFonts w:ascii="FrankRuehl" w:hAnsi="FrankRuehl" w:cs="FrankRuehl"/>
          <w:sz w:val="28"/>
          <w:szCs w:val="28"/>
          <w:rtl/>
        </w:rPr>
        <w:t>:</w:t>
      </w:r>
      <w:r w:rsidR="0060110B" w:rsidRPr="001A0B66">
        <w:rPr>
          <w:rFonts w:ascii="FrankRuehl" w:hAnsi="FrankRuehl" w:cs="FrankRuehl"/>
          <w:sz w:val="28"/>
          <w:szCs w:val="28"/>
          <w:rtl/>
        </w:rPr>
        <w:t xml:space="preserve"> ראשית</w:t>
      </w:r>
      <w:r w:rsidR="00364F56" w:rsidRPr="001A0B66">
        <w:rPr>
          <w:rFonts w:ascii="FrankRuehl" w:hAnsi="FrankRuehl" w:cs="FrankRuehl"/>
          <w:sz w:val="28"/>
          <w:szCs w:val="28"/>
          <w:rtl/>
        </w:rPr>
        <w:t xml:space="preserve"> </w:t>
      </w:r>
      <w:r w:rsidR="00422CC3" w:rsidRPr="001A0B66">
        <w:rPr>
          <w:rFonts w:ascii="FrankRuehl" w:hAnsi="FrankRuehl" w:cs="FrankRuehl"/>
          <w:sz w:val="28"/>
          <w:szCs w:val="28"/>
          <w:rtl/>
        </w:rPr>
        <w:t xml:space="preserve">כדרישה מהותית להיקף מידע שיענה לסף של אפקטיביות </w:t>
      </w:r>
      <w:r w:rsidR="0060110B" w:rsidRPr="001A0B66">
        <w:rPr>
          <w:rFonts w:ascii="FrankRuehl" w:hAnsi="FrankRuehl" w:cs="FrankRuehl"/>
          <w:sz w:val="28"/>
          <w:szCs w:val="28"/>
          <w:rtl/>
        </w:rPr>
        <w:t>(</w:t>
      </w:r>
      <w:r w:rsidR="00E628D4" w:rsidRPr="001A0B66">
        <w:rPr>
          <w:rFonts w:ascii="FrankRuehl" w:hAnsi="FrankRuehl" w:cs="FrankRuehl"/>
          <w:sz w:val="28"/>
          <w:szCs w:val="28"/>
          <w:rtl/>
        </w:rPr>
        <w:t>התמצית צריכה לאפשר</w:t>
      </w:r>
      <w:r w:rsidR="0060110B" w:rsidRPr="001A0B66">
        <w:rPr>
          <w:rFonts w:ascii="FrankRuehl" w:hAnsi="FrankRuehl" w:cs="FrankRuehl"/>
          <w:sz w:val="28"/>
          <w:szCs w:val="28"/>
          <w:rtl/>
        </w:rPr>
        <w:t xml:space="preserve"> לאדם </w:t>
      </w:r>
      <w:r w:rsidR="00CA77C1" w:rsidRPr="001A0B66">
        <w:rPr>
          <w:rFonts w:ascii="FrankRuehl" w:hAnsi="FrankRuehl" w:cs="FrankRuehl"/>
          <w:sz w:val="28"/>
          <w:szCs w:val="28"/>
          <w:rtl/>
        </w:rPr>
        <w:t>"</w:t>
      </w:r>
      <w:r w:rsidR="0060110B" w:rsidRPr="001A0B66">
        <w:rPr>
          <w:rFonts w:ascii="FrankRuehl" w:hAnsi="FrankRuehl" w:cs="FrankRuehl"/>
          <w:sz w:val="28"/>
          <w:szCs w:val="28"/>
          <w:rtl/>
        </w:rPr>
        <w:t xml:space="preserve">לתת הוראות אפקטיביות לעורך הדין"), ושנית כדרישה </w:t>
      </w:r>
      <w:r w:rsidR="00364F56" w:rsidRPr="001A0B66">
        <w:rPr>
          <w:rFonts w:ascii="FrankRuehl" w:hAnsi="FrankRuehl" w:cs="FrankRuehl"/>
          <w:sz w:val="28"/>
          <w:szCs w:val="28"/>
          <w:rtl/>
        </w:rPr>
        <w:t>קשיחה, שבלעדיה גם מינוי עורך דין מיוחד אינו יכול להפוך את ההליך להוגן</w:t>
      </w:r>
      <w:r w:rsidRPr="001A0B66">
        <w:rPr>
          <w:rFonts w:ascii="FrankRuehl" w:hAnsi="FrankRuehl" w:cs="FrankRuehl"/>
          <w:sz w:val="28"/>
          <w:szCs w:val="28"/>
          <w:rtl/>
        </w:rPr>
        <w:t xml:space="preserve"> ברמה מינימלית</w:t>
      </w:r>
      <w:r w:rsidR="00364F56" w:rsidRPr="001A0B66">
        <w:rPr>
          <w:rFonts w:ascii="FrankRuehl" w:hAnsi="FrankRuehl" w:cs="FrankRuehl"/>
          <w:sz w:val="28"/>
          <w:szCs w:val="28"/>
          <w:rtl/>
        </w:rPr>
        <w:t>.</w:t>
      </w:r>
      <w:r w:rsidR="0083132C" w:rsidRPr="001A0B66">
        <w:rPr>
          <w:rFonts w:ascii="FrankRuehl" w:hAnsi="FrankRuehl" w:cs="FrankRuehl"/>
          <w:sz w:val="28"/>
          <w:szCs w:val="28"/>
          <w:rtl/>
        </w:rPr>
        <w:t xml:space="preserve"> </w:t>
      </w:r>
      <w:r w:rsidR="00B45AEB" w:rsidRPr="001A0B66">
        <w:rPr>
          <w:rFonts w:ascii="FrankRuehl" w:hAnsi="FrankRuehl" w:cs="FrankRuehl"/>
          <w:sz w:val="28"/>
          <w:szCs w:val="28"/>
          <w:rtl/>
        </w:rPr>
        <w:t xml:space="preserve">כעניין שבפרקטיקה, בהליכים </w:t>
      </w:r>
      <w:r w:rsidR="008F1395" w:rsidRPr="001A0B66">
        <w:rPr>
          <w:rFonts w:ascii="FrankRuehl" w:hAnsi="FrankRuehl" w:cs="FrankRuehl"/>
          <w:sz w:val="28"/>
          <w:szCs w:val="28"/>
          <w:rtl/>
        </w:rPr>
        <w:t xml:space="preserve">המתקיימים </w:t>
      </w:r>
      <w:r w:rsidR="00B45AEB" w:rsidRPr="001A0B66">
        <w:rPr>
          <w:rFonts w:ascii="FrankRuehl" w:hAnsi="FrankRuehl" w:cs="FrankRuehl"/>
          <w:sz w:val="28"/>
          <w:szCs w:val="28"/>
          <w:rtl/>
        </w:rPr>
        <w:t xml:space="preserve">בפני הטריבונל </w:t>
      </w:r>
      <w:r w:rsidR="008F1395" w:rsidRPr="001A0B66">
        <w:rPr>
          <w:rFonts w:ascii="FrankRuehl" w:hAnsi="FrankRuehl" w:cs="FrankRuehl"/>
          <w:sz w:val="28"/>
          <w:szCs w:val="28"/>
          <w:rtl/>
        </w:rPr>
        <w:t xml:space="preserve">הבריטי </w:t>
      </w:r>
      <w:r w:rsidR="00B45AEB" w:rsidRPr="001A0B66">
        <w:rPr>
          <w:rFonts w:ascii="FrankRuehl" w:hAnsi="FrankRuehl" w:cs="FrankRuehl"/>
          <w:sz w:val="28"/>
          <w:szCs w:val="28"/>
          <w:rtl/>
        </w:rPr>
        <w:t xml:space="preserve">המיוחד </w:t>
      </w:r>
      <w:r w:rsidR="00B45AEB" w:rsidRPr="001A0B66">
        <w:rPr>
          <w:rFonts w:ascii="FrankRuehl" w:hAnsi="FrankRuehl" w:cs="FrankRuehl"/>
          <w:sz w:val="28"/>
          <w:szCs w:val="28"/>
        </w:rPr>
        <w:t>SIAC</w:t>
      </w:r>
      <w:r w:rsidR="008F1395" w:rsidRPr="001A0B66">
        <w:rPr>
          <w:rFonts w:ascii="FrankRuehl" w:hAnsi="FrankRuehl" w:cs="FrankRuehl"/>
          <w:sz w:val="28"/>
          <w:szCs w:val="28"/>
          <w:rtl/>
        </w:rPr>
        <w:t>,</w:t>
      </w:r>
      <w:r w:rsidR="009A6851" w:rsidRPr="001A0B66">
        <w:rPr>
          <w:rFonts w:ascii="FrankRuehl" w:hAnsi="FrankRuehl" w:cs="FrankRuehl"/>
          <w:sz w:val="28"/>
          <w:szCs w:val="28"/>
          <w:rtl/>
        </w:rPr>
        <w:t xml:space="preserve"> </w:t>
      </w:r>
      <w:r w:rsidR="00B45AEB" w:rsidRPr="001A0B66">
        <w:rPr>
          <w:rFonts w:ascii="FrankRuehl" w:hAnsi="FrankRuehl" w:cs="FrankRuehl"/>
          <w:sz w:val="28"/>
          <w:szCs w:val="28"/>
          <w:rtl/>
        </w:rPr>
        <w:t xml:space="preserve">שבמסגרתו ממונים עורכי הדין המיוחדים, מוצג מזכר </w:t>
      </w:r>
      <w:r w:rsidR="00D742F6" w:rsidRPr="001A0B66">
        <w:rPr>
          <w:rFonts w:ascii="FrankRuehl" w:hAnsi="FrankRuehl" w:cs="FrankRuehl"/>
          <w:sz w:val="28"/>
          <w:szCs w:val="28"/>
          <w:rtl/>
        </w:rPr>
        <w:t>(</w:t>
      </w:r>
      <w:r w:rsidR="00D53236" w:rsidRPr="001A0B66">
        <w:rPr>
          <w:rFonts w:ascii="FrankRuehl" w:hAnsi="FrankRuehl" w:cs="FrankRuehl"/>
          <w:sz w:val="28"/>
          <w:szCs w:val="28"/>
          <w:rtl/>
        </w:rPr>
        <w:t>משמע,</w:t>
      </w:r>
      <w:r w:rsidR="00C56381" w:rsidRPr="001A0B66">
        <w:rPr>
          <w:rFonts w:ascii="FrankRuehl" w:hAnsi="FrankRuehl" w:cs="FrankRuehl"/>
          <w:sz w:val="28"/>
          <w:szCs w:val="28"/>
          <w:rtl/>
        </w:rPr>
        <w:t xml:space="preserve"> </w:t>
      </w:r>
      <w:r w:rsidR="00D742F6" w:rsidRPr="001A0B66">
        <w:rPr>
          <w:rFonts w:ascii="FrankRuehl" w:hAnsi="FrankRuehl" w:cs="FrankRuehl"/>
          <w:sz w:val="28"/>
          <w:szCs w:val="28"/>
          <w:rtl/>
        </w:rPr>
        <w:t xml:space="preserve">תמצית) </w:t>
      </w:r>
      <w:r w:rsidR="00B45AEB" w:rsidRPr="001A0B66">
        <w:rPr>
          <w:rFonts w:ascii="FrankRuehl" w:hAnsi="FrankRuehl" w:cs="FrankRuehl"/>
          <w:sz w:val="28"/>
          <w:szCs w:val="28"/>
          <w:rtl/>
        </w:rPr>
        <w:t xml:space="preserve">של משרד החוץ הבריטי המפרט את הנסיבות בבסיס </w:t>
      </w:r>
      <w:r w:rsidR="00B45AEB" w:rsidRPr="001A0B66">
        <w:rPr>
          <w:rFonts w:ascii="FrankRuehl" w:hAnsi="FrankRuehl" w:cs="FrankRuehl"/>
          <w:sz w:val="28"/>
          <w:szCs w:val="28"/>
          <w:rtl/>
        </w:rPr>
        <w:lastRenderedPageBreak/>
        <w:t>הבקשה</w:t>
      </w:r>
      <w:r w:rsidR="003052A7" w:rsidRPr="001A0B66">
        <w:rPr>
          <w:rFonts w:ascii="FrankRuehl" w:hAnsi="FrankRuehl" w:cs="FrankRuehl"/>
          <w:sz w:val="28"/>
          <w:szCs w:val="28"/>
          <w:rtl/>
        </w:rPr>
        <w:t xml:space="preserve"> </w:t>
      </w:r>
      <w:r w:rsidR="008F1395" w:rsidRPr="001A0B66">
        <w:rPr>
          <w:rFonts w:ascii="FrankRuehl" w:hAnsi="FrankRuehl" w:cs="FrankRuehl"/>
          <w:sz w:val="28"/>
          <w:szCs w:val="28"/>
          <w:rtl/>
        </w:rPr>
        <w:t xml:space="preserve">לעצור </w:t>
      </w:r>
      <w:r w:rsidR="00422CC3" w:rsidRPr="001A0B66">
        <w:rPr>
          <w:rFonts w:ascii="FrankRuehl" w:hAnsi="FrankRuehl" w:cs="FrankRuehl"/>
          <w:sz w:val="28"/>
          <w:szCs w:val="28"/>
          <w:rtl/>
        </w:rPr>
        <w:t xml:space="preserve">או לגרש </w:t>
      </w:r>
      <w:r w:rsidR="003052A7" w:rsidRPr="001A0B66">
        <w:rPr>
          <w:rFonts w:ascii="FrankRuehl" w:hAnsi="FrankRuehl" w:cs="FrankRuehl"/>
          <w:sz w:val="28"/>
          <w:szCs w:val="28"/>
          <w:rtl/>
        </w:rPr>
        <w:t>חשוד</w:t>
      </w:r>
      <w:r w:rsidR="00B45AEB" w:rsidRPr="001A0B66">
        <w:rPr>
          <w:rFonts w:ascii="FrankRuehl" w:hAnsi="FrankRuehl" w:cs="FrankRuehl"/>
          <w:sz w:val="28"/>
          <w:szCs w:val="28"/>
          <w:rtl/>
        </w:rPr>
        <w:t>, ונציג של המשרד עומד לחקירה נגדית בפני הטריבונל.</w:t>
      </w:r>
      <w:r w:rsidR="00B30B95" w:rsidRPr="001A0B66">
        <w:rPr>
          <w:rStyle w:val="FootnoteReference"/>
          <w:rFonts w:ascii="FrankRuehl" w:hAnsi="FrankRuehl" w:cs="FrankRuehl"/>
          <w:sz w:val="28"/>
          <w:szCs w:val="28"/>
          <w:rtl/>
        </w:rPr>
        <w:footnoteReference w:id="77"/>
      </w:r>
      <w:r w:rsidR="00B45AEB" w:rsidRPr="001A0B66">
        <w:rPr>
          <w:rFonts w:ascii="FrankRuehl" w:hAnsi="FrankRuehl" w:cs="FrankRuehl"/>
          <w:sz w:val="28"/>
          <w:szCs w:val="28"/>
          <w:rtl/>
        </w:rPr>
        <w:t xml:space="preserve"> </w:t>
      </w:r>
      <w:r w:rsidR="0083132C" w:rsidRPr="001A0B66">
        <w:rPr>
          <w:rFonts w:ascii="FrankRuehl" w:hAnsi="FrankRuehl" w:cs="FrankRuehl"/>
          <w:sz w:val="28"/>
          <w:szCs w:val="28"/>
          <w:rtl/>
        </w:rPr>
        <w:t xml:space="preserve">בפסק הדין </w:t>
      </w:r>
      <w:r w:rsidR="003544CE" w:rsidRPr="001A0B66">
        <w:rPr>
          <w:rFonts w:ascii="FrankRuehl" w:hAnsi="FrankRuehl" w:cs="FrankRuehl"/>
          <w:sz w:val="28"/>
          <w:szCs w:val="28"/>
          <w:rtl/>
        </w:rPr>
        <w:t>הנזכר</w:t>
      </w:r>
      <w:r w:rsidR="002F32C4" w:rsidRPr="001A0B66">
        <w:rPr>
          <w:rFonts w:ascii="FrankRuehl" w:hAnsi="FrankRuehl" w:cs="FrankRuehl"/>
          <w:sz w:val="28"/>
          <w:szCs w:val="28"/>
          <w:rtl/>
        </w:rPr>
        <w:t xml:space="preserve"> נאמרו דברים חשובים</w:t>
      </w:r>
      <w:r w:rsidR="003544CE" w:rsidRPr="001A0B66">
        <w:rPr>
          <w:rFonts w:ascii="FrankRuehl" w:hAnsi="FrankRuehl" w:cs="FrankRuehl"/>
          <w:sz w:val="28"/>
          <w:szCs w:val="28"/>
          <w:rtl/>
        </w:rPr>
        <w:t xml:space="preserve"> </w:t>
      </w:r>
      <w:r w:rsidR="002F32C4" w:rsidRPr="001A0B66">
        <w:rPr>
          <w:rFonts w:ascii="FrankRuehl" w:hAnsi="FrankRuehl" w:cs="FrankRuehl"/>
          <w:sz w:val="28"/>
          <w:szCs w:val="28"/>
          <w:rtl/>
        </w:rPr>
        <w:t>ב</w:t>
      </w:r>
      <w:r w:rsidR="0083132C" w:rsidRPr="001A0B66">
        <w:rPr>
          <w:rFonts w:ascii="FrankRuehl" w:hAnsi="FrankRuehl" w:cs="FrankRuehl"/>
          <w:sz w:val="28"/>
          <w:szCs w:val="28"/>
          <w:rtl/>
        </w:rPr>
        <w:t>עניין</w:t>
      </w:r>
      <w:r w:rsidR="00E771A6" w:rsidRPr="001A0B66">
        <w:rPr>
          <w:rFonts w:ascii="FrankRuehl" w:hAnsi="FrankRuehl" w:cs="FrankRuehl"/>
          <w:sz w:val="28"/>
          <w:szCs w:val="28"/>
          <w:rtl/>
        </w:rPr>
        <w:t xml:space="preserve"> הצדקת הצורך ב</w:t>
      </w:r>
      <w:r w:rsidR="0083132C" w:rsidRPr="001A0B66">
        <w:rPr>
          <w:rFonts w:ascii="FrankRuehl" w:hAnsi="FrankRuehl" w:cs="FrankRuehl"/>
          <w:sz w:val="28"/>
          <w:szCs w:val="28"/>
          <w:rtl/>
        </w:rPr>
        <w:t>פירוט</w:t>
      </w:r>
      <w:r w:rsidR="00E771A6" w:rsidRPr="001A0B66">
        <w:rPr>
          <w:rFonts w:ascii="FrankRuehl" w:hAnsi="FrankRuehl" w:cs="FrankRuehl"/>
          <w:sz w:val="28"/>
          <w:szCs w:val="28"/>
          <w:rtl/>
        </w:rPr>
        <w:t xml:space="preserve"> מרבי</w:t>
      </w:r>
      <w:r w:rsidR="0083132C" w:rsidRPr="001A0B66">
        <w:rPr>
          <w:rFonts w:ascii="FrankRuehl" w:hAnsi="FrankRuehl" w:cs="FrankRuehl"/>
          <w:sz w:val="28"/>
          <w:szCs w:val="28"/>
          <w:rtl/>
        </w:rPr>
        <w:t>:</w:t>
      </w:r>
    </w:p>
    <w:p w14:paraId="0E1BCAA3" w14:textId="77777777" w:rsidR="0083132C" w:rsidRPr="001A0B66" w:rsidRDefault="001B21F5"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r w:rsidR="0083132C" w:rsidRPr="001A0B66">
        <w:rPr>
          <w:rFonts w:ascii="FrankRuehl" w:hAnsi="FrankRuehl" w:cs="FrankRuehl"/>
          <w:sz w:val="28"/>
          <w:szCs w:val="28"/>
          <w:rtl/>
        </w:rPr>
        <w:t xml:space="preserve">במקרים אחרים, אפילו כשרוב הראיות או כולן נותרו חסויות, אם ההאשמות שנכללו בחומר הגלוי היו ספציפיות מספיק, המבקש היה יכול לספק לבאי כוחו ולפרקליט המיוחד את המידע שבעזרתו אפשר לסתור אותן, </w:t>
      </w:r>
      <w:r w:rsidR="008F1395" w:rsidRPr="001A0B66">
        <w:rPr>
          <w:rFonts w:ascii="FrankRuehl" w:hAnsi="FrankRuehl" w:cs="FrankRuehl"/>
          <w:sz w:val="28"/>
          <w:szCs w:val="28"/>
          <w:rtl/>
        </w:rPr>
        <w:t>[</w:t>
      </w:r>
      <w:r w:rsidR="0083132C" w:rsidRPr="001A0B66">
        <w:rPr>
          <w:rFonts w:ascii="FrankRuehl" w:hAnsi="FrankRuehl" w:cs="FrankRuehl"/>
          <w:sz w:val="28"/>
          <w:szCs w:val="28"/>
          <w:rtl/>
        </w:rPr>
        <w:t>...</w:t>
      </w:r>
      <w:r w:rsidR="008F1395" w:rsidRPr="001A0B66">
        <w:rPr>
          <w:rFonts w:ascii="FrankRuehl" w:hAnsi="FrankRuehl" w:cs="FrankRuehl"/>
          <w:sz w:val="28"/>
          <w:szCs w:val="28"/>
          <w:rtl/>
        </w:rPr>
        <w:t>]</w:t>
      </w:r>
      <w:r w:rsidR="0083132C" w:rsidRPr="001A0B66">
        <w:rPr>
          <w:rFonts w:ascii="FrankRuehl" w:hAnsi="FrankRuehl" w:cs="FrankRuehl"/>
          <w:sz w:val="28"/>
          <w:szCs w:val="28"/>
          <w:rtl/>
        </w:rPr>
        <w:t xml:space="preserve"> לדוגמה, ההאשמה נגד כמה מבקשים על שהשתתפו במחנה אימון של טרוריסטים במקום מסוים בתאריכים מסוימים. כשאופי ההאשמה היה ידוע לו, היה יכול המבקש לספק לפרקליט המיוחד הוכחה לחפותו, למשל אליבי או הסבר חלופי לנוכחותו שם, שהיה בו די כדי לאפשר לפרקליט לסתור את ההאשמות</w:t>
      </w:r>
      <w:r w:rsidRPr="001A0B66">
        <w:rPr>
          <w:rFonts w:ascii="FrankRuehl" w:hAnsi="FrankRuehl" w:cs="FrankRuehl"/>
          <w:sz w:val="28"/>
          <w:szCs w:val="28"/>
          <w:rtl/>
        </w:rPr>
        <w:t>"</w:t>
      </w:r>
      <w:r w:rsidR="0083132C" w:rsidRPr="001A0B66">
        <w:rPr>
          <w:rFonts w:ascii="FrankRuehl" w:hAnsi="FrankRuehl" w:cs="FrankRuehl"/>
          <w:sz w:val="28"/>
          <w:szCs w:val="28"/>
          <w:rtl/>
        </w:rPr>
        <w:t>.</w:t>
      </w:r>
      <w:r w:rsidR="0083132C" w:rsidRPr="001A0B66">
        <w:rPr>
          <w:rStyle w:val="FootnoteReference"/>
          <w:rFonts w:ascii="FrankRuehl" w:hAnsi="FrankRuehl" w:cs="FrankRuehl"/>
          <w:sz w:val="28"/>
          <w:szCs w:val="28"/>
          <w:rtl/>
        </w:rPr>
        <w:footnoteReference w:id="78"/>
      </w:r>
      <w:r w:rsidR="0083132C" w:rsidRPr="001A0B66">
        <w:rPr>
          <w:rFonts w:ascii="FrankRuehl" w:hAnsi="FrankRuehl" w:cs="FrankRuehl"/>
          <w:sz w:val="28"/>
          <w:szCs w:val="28"/>
          <w:rtl/>
        </w:rPr>
        <w:t xml:space="preserve"> </w:t>
      </w:r>
    </w:p>
    <w:p w14:paraId="5B397BCC" w14:textId="77777777" w:rsidR="0083132C" w:rsidRPr="001A0B66" w:rsidRDefault="001842EA" w:rsidP="00F307FB">
      <w:pPr>
        <w:pStyle w:val="a1"/>
        <w:spacing w:line="276" w:lineRule="auto"/>
        <w:rPr>
          <w:rFonts w:ascii="FrankRuehl" w:hAnsi="FrankRuehl" w:cs="FrankRuehl"/>
          <w:sz w:val="28"/>
          <w:szCs w:val="28"/>
        </w:rPr>
      </w:pPr>
      <w:r w:rsidRPr="001A0B66">
        <w:rPr>
          <w:rFonts w:ascii="FrankRuehl" w:hAnsi="FrankRuehl" w:cs="FrankRuehl"/>
          <w:sz w:val="28"/>
          <w:szCs w:val="28"/>
          <w:rtl/>
        </w:rPr>
        <w:t xml:space="preserve">מה באשר למצב </w:t>
      </w:r>
      <w:r w:rsidR="00E64409" w:rsidRPr="001A0B66">
        <w:rPr>
          <w:rFonts w:ascii="FrankRuehl" w:hAnsi="FrankRuehl" w:cs="FrankRuehl"/>
          <w:sz w:val="28"/>
          <w:szCs w:val="28"/>
          <w:rtl/>
        </w:rPr>
        <w:t>בישראל</w:t>
      </w:r>
      <w:r w:rsidRPr="001A0B66">
        <w:rPr>
          <w:rFonts w:ascii="FrankRuehl" w:hAnsi="FrankRuehl" w:cs="FrankRuehl"/>
          <w:sz w:val="28"/>
          <w:szCs w:val="28"/>
          <w:rtl/>
        </w:rPr>
        <w:t xml:space="preserve">? </w:t>
      </w:r>
      <w:r w:rsidR="00364F56" w:rsidRPr="001A0B66">
        <w:rPr>
          <w:rFonts w:ascii="FrankRuehl" w:hAnsi="FrankRuehl" w:cs="FrankRuehl"/>
          <w:sz w:val="28"/>
          <w:szCs w:val="28"/>
          <w:rtl/>
        </w:rPr>
        <w:t>א</w:t>
      </w:r>
      <w:r w:rsidR="000867B6" w:rsidRPr="001A0B66">
        <w:rPr>
          <w:rFonts w:ascii="FrankRuehl" w:hAnsi="FrankRuehl" w:cs="FrankRuehl"/>
          <w:sz w:val="28"/>
          <w:szCs w:val="28"/>
          <w:rtl/>
        </w:rPr>
        <w:t>ו</w:t>
      </w:r>
      <w:r w:rsidR="00364F56" w:rsidRPr="001A0B66">
        <w:rPr>
          <w:rFonts w:ascii="FrankRuehl" w:hAnsi="FrankRuehl" w:cs="FrankRuehl"/>
          <w:sz w:val="28"/>
          <w:szCs w:val="28"/>
          <w:rtl/>
        </w:rPr>
        <w:t>מנם הפסיקה עמד</w:t>
      </w:r>
      <w:r w:rsidRPr="001A0B66">
        <w:rPr>
          <w:rFonts w:ascii="FrankRuehl" w:hAnsi="FrankRuehl" w:cs="FrankRuehl"/>
          <w:sz w:val="28"/>
          <w:szCs w:val="28"/>
          <w:rtl/>
        </w:rPr>
        <w:t>ה</w:t>
      </w:r>
      <w:r w:rsidR="00364F56" w:rsidRPr="001A0B66">
        <w:rPr>
          <w:rFonts w:ascii="FrankRuehl" w:hAnsi="FrankRuehl" w:cs="FrankRuehl"/>
          <w:sz w:val="28"/>
          <w:szCs w:val="28"/>
          <w:rtl/>
        </w:rPr>
        <w:t xml:space="preserve"> על הצורך למסור </w:t>
      </w:r>
      <w:r w:rsidR="00671E45" w:rsidRPr="001A0B66">
        <w:rPr>
          <w:rFonts w:ascii="FrankRuehl" w:hAnsi="FrankRuehl" w:cs="FrankRuehl"/>
          <w:sz w:val="28"/>
          <w:szCs w:val="28"/>
          <w:rtl/>
        </w:rPr>
        <w:t>לאדם</w:t>
      </w:r>
      <w:r w:rsidR="00056218" w:rsidRPr="001A0B66">
        <w:rPr>
          <w:rFonts w:ascii="FrankRuehl" w:hAnsi="FrankRuehl" w:cs="FrankRuehl"/>
          <w:sz w:val="28"/>
          <w:szCs w:val="28"/>
          <w:rtl/>
        </w:rPr>
        <w:t xml:space="preserve"> תמצית מפורטת</w:t>
      </w:r>
      <w:r w:rsidR="00671E45" w:rsidRPr="001A0B66">
        <w:rPr>
          <w:rFonts w:ascii="FrankRuehl" w:hAnsi="FrankRuehl" w:cs="FrankRuehl"/>
          <w:sz w:val="28"/>
          <w:szCs w:val="28"/>
          <w:rtl/>
        </w:rPr>
        <w:t xml:space="preserve"> "ככל האפשר" </w:t>
      </w:r>
      <w:r w:rsidR="00056218" w:rsidRPr="001A0B66">
        <w:rPr>
          <w:rFonts w:ascii="FrankRuehl" w:hAnsi="FrankRuehl" w:cs="FrankRuehl"/>
          <w:sz w:val="28"/>
          <w:szCs w:val="28"/>
          <w:rtl/>
        </w:rPr>
        <w:t xml:space="preserve">של </w:t>
      </w:r>
      <w:r w:rsidR="00671E45" w:rsidRPr="001A0B66">
        <w:rPr>
          <w:rFonts w:ascii="FrankRuehl" w:hAnsi="FrankRuehl" w:cs="FrankRuehl"/>
          <w:sz w:val="28"/>
          <w:szCs w:val="28"/>
          <w:rtl/>
        </w:rPr>
        <w:t>הטענות נגדו</w:t>
      </w:r>
      <w:r w:rsidR="00364F56" w:rsidRPr="001A0B66">
        <w:rPr>
          <w:rFonts w:ascii="FrankRuehl" w:hAnsi="FrankRuehl" w:cs="FrankRuehl"/>
          <w:sz w:val="28"/>
          <w:szCs w:val="28"/>
          <w:rtl/>
        </w:rPr>
        <w:t xml:space="preserve">, אך </w:t>
      </w:r>
      <w:r w:rsidR="00925772" w:rsidRPr="001A0B66">
        <w:rPr>
          <w:rFonts w:ascii="FrankRuehl" w:hAnsi="FrankRuehl" w:cs="FrankRuehl"/>
          <w:sz w:val="28"/>
          <w:szCs w:val="28"/>
          <w:rtl/>
        </w:rPr>
        <w:t xml:space="preserve">כאמור לעיל </w:t>
      </w:r>
      <w:r w:rsidR="00364F56" w:rsidRPr="001A0B66">
        <w:rPr>
          <w:rFonts w:ascii="FrankRuehl" w:hAnsi="FrankRuehl" w:cs="FrankRuehl"/>
          <w:sz w:val="28"/>
          <w:szCs w:val="28"/>
          <w:rtl/>
        </w:rPr>
        <w:t>הפרקטיקה רחוקה מכך.</w:t>
      </w:r>
      <w:r w:rsidR="00C06D2C" w:rsidRPr="001A0B66">
        <w:rPr>
          <w:rStyle w:val="FootnoteReference"/>
          <w:rFonts w:ascii="FrankRuehl" w:hAnsi="FrankRuehl" w:cs="FrankRuehl"/>
          <w:sz w:val="28"/>
          <w:szCs w:val="28"/>
          <w:rtl/>
        </w:rPr>
        <w:footnoteReference w:id="79"/>
      </w:r>
      <w:r w:rsidR="0060110B" w:rsidRPr="001A0B66">
        <w:rPr>
          <w:rFonts w:ascii="FrankRuehl" w:hAnsi="FrankRuehl" w:cs="FrankRuehl"/>
          <w:sz w:val="28"/>
          <w:szCs w:val="28"/>
          <w:rtl/>
        </w:rPr>
        <w:t xml:space="preserve"> </w:t>
      </w:r>
      <w:r w:rsidR="00CB148D" w:rsidRPr="001A0B66">
        <w:rPr>
          <w:rFonts w:ascii="FrankRuehl" w:hAnsi="FrankRuehl" w:cs="FrankRuehl"/>
          <w:sz w:val="28"/>
          <w:szCs w:val="28"/>
          <w:rtl/>
        </w:rPr>
        <w:t xml:space="preserve">ההחלטה </w:t>
      </w:r>
      <w:r w:rsidR="00E64409" w:rsidRPr="001A0B66">
        <w:rPr>
          <w:rFonts w:ascii="FrankRuehl" w:hAnsi="FrankRuehl" w:cs="FrankRuehl"/>
          <w:sz w:val="28"/>
          <w:szCs w:val="28"/>
          <w:rtl/>
        </w:rPr>
        <w:t xml:space="preserve">שהוזכרה לעיל </w:t>
      </w:r>
      <w:r w:rsidR="002F32C4" w:rsidRPr="001A0B66">
        <w:rPr>
          <w:rFonts w:ascii="FrankRuehl" w:hAnsi="FrankRuehl" w:cs="FrankRuehl"/>
          <w:sz w:val="28"/>
          <w:szCs w:val="28"/>
          <w:rtl/>
        </w:rPr>
        <w:t>בעניין</w:t>
      </w:r>
      <w:r w:rsidR="00CB148D" w:rsidRPr="001A0B66">
        <w:rPr>
          <w:rFonts w:ascii="FrankRuehl" w:hAnsi="FrankRuehl" w:cs="FrankRuehl"/>
          <w:sz w:val="28"/>
          <w:szCs w:val="28"/>
          <w:rtl/>
        </w:rPr>
        <w:t xml:space="preserve"> </w:t>
      </w:r>
      <w:r w:rsidR="00CB148D" w:rsidRPr="001A0B66">
        <w:rPr>
          <w:rFonts w:ascii="FrankRuehl" w:hAnsi="FrankRuehl" w:cs="FrankRuehl"/>
          <w:b/>
          <w:bCs/>
          <w:sz w:val="28"/>
          <w:szCs w:val="28"/>
          <w:rtl/>
        </w:rPr>
        <w:t>עברה</w:t>
      </w:r>
      <w:r w:rsidR="00C55CF4" w:rsidRPr="001A0B66">
        <w:rPr>
          <w:rFonts w:ascii="FrankRuehl" w:hAnsi="FrankRuehl" w:cs="FrankRuehl"/>
          <w:sz w:val="28"/>
          <w:szCs w:val="28"/>
          <w:rtl/>
        </w:rPr>
        <w:t xml:space="preserve">, </w:t>
      </w:r>
      <w:r w:rsidR="00264DF0" w:rsidRPr="001A0B66">
        <w:rPr>
          <w:rFonts w:ascii="FrankRuehl" w:hAnsi="FrankRuehl" w:cs="FrankRuehl"/>
          <w:sz w:val="28"/>
          <w:szCs w:val="28"/>
          <w:rtl/>
        </w:rPr>
        <w:t>ש</w:t>
      </w:r>
      <w:r w:rsidR="00CB148D" w:rsidRPr="001A0B66">
        <w:rPr>
          <w:rFonts w:ascii="FrankRuehl" w:hAnsi="FrankRuehl" w:cs="FrankRuehl"/>
          <w:sz w:val="28"/>
          <w:szCs w:val="28"/>
          <w:rtl/>
        </w:rPr>
        <w:t xml:space="preserve">בה נדונה עתירה של עציר מנהלי בשטחים, מדגימה </w:t>
      </w:r>
      <w:r w:rsidR="00056218" w:rsidRPr="001A0B66">
        <w:rPr>
          <w:rFonts w:ascii="FrankRuehl" w:hAnsi="FrankRuehl" w:cs="FrankRuehl"/>
          <w:sz w:val="28"/>
          <w:szCs w:val="28"/>
          <w:rtl/>
        </w:rPr>
        <w:t xml:space="preserve">הן </w:t>
      </w:r>
      <w:r w:rsidR="00CB148D" w:rsidRPr="001A0B66">
        <w:rPr>
          <w:rFonts w:ascii="FrankRuehl" w:hAnsi="FrankRuehl" w:cs="FrankRuehl"/>
          <w:sz w:val="28"/>
          <w:szCs w:val="28"/>
          <w:rtl/>
        </w:rPr>
        <w:t>את חשיבות ה</w:t>
      </w:r>
      <w:r w:rsidR="00A12B37" w:rsidRPr="001A0B66">
        <w:rPr>
          <w:rFonts w:ascii="FrankRuehl" w:hAnsi="FrankRuehl" w:cs="FrankRuehl"/>
          <w:sz w:val="28"/>
          <w:szCs w:val="28"/>
          <w:rtl/>
        </w:rPr>
        <w:t>פרפרזה</w:t>
      </w:r>
      <w:r w:rsidR="00CB148D" w:rsidRPr="001A0B66">
        <w:rPr>
          <w:rFonts w:ascii="FrankRuehl" w:hAnsi="FrankRuehl" w:cs="FrankRuehl"/>
          <w:sz w:val="28"/>
          <w:szCs w:val="28"/>
          <w:rtl/>
        </w:rPr>
        <w:t xml:space="preserve"> הראשונית</w:t>
      </w:r>
      <w:r w:rsidR="00056218" w:rsidRPr="001A0B66">
        <w:rPr>
          <w:rFonts w:ascii="FrankRuehl" w:hAnsi="FrankRuehl" w:cs="FrankRuehl"/>
          <w:sz w:val="28"/>
          <w:szCs w:val="28"/>
          <w:rtl/>
        </w:rPr>
        <w:t xml:space="preserve"> והן </w:t>
      </w:r>
      <w:r w:rsidR="00CE40AA" w:rsidRPr="001A0B66">
        <w:rPr>
          <w:rFonts w:ascii="FrankRuehl" w:hAnsi="FrankRuehl" w:cs="FrankRuehl"/>
          <w:sz w:val="28"/>
          <w:szCs w:val="28"/>
          <w:rtl/>
        </w:rPr>
        <w:t xml:space="preserve">את הפער בין </w:t>
      </w:r>
      <w:r w:rsidR="00F41B31" w:rsidRPr="001A0B66">
        <w:rPr>
          <w:rFonts w:ascii="FrankRuehl" w:hAnsi="FrankRuehl" w:cs="FrankRuehl"/>
          <w:sz w:val="28"/>
          <w:szCs w:val="28"/>
          <w:rtl/>
        </w:rPr>
        <w:t>הרטוריקה ל</w:t>
      </w:r>
      <w:r w:rsidR="00CE40AA" w:rsidRPr="001A0B66">
        <w:rPr>
          <w:rFonts w:ascii="FrankRuehl" w:hAnsi="FrankRuehl" w:cs="FrankRuehl"/>
          <w:sz w:val="28"/>
          <w:szCs w:val="28"/>
          <w:rtl/>
        </w:rPr>
        <w:t>בין הפרקטיקה</w:t>
      </w:r>
      <w:r w:rsidR="00CB148D" w:rsidRPr="001A0B66">
        <w:rPr>
          <w:rFonts w:ascii="FrankRuehl" w:hAnsi="FrankRuehl" w:cs="FrankRuehl"/>
          <w:sz w:val="28"/>
          <w:szCs w:val="28"/>
          <w:rtl/>
        </w:rPr>
        <w:t>.</w:t>
      </w:r>
      <w:r w:rsidR="00CB148D" w:rsidRPr="001A0B66">
        <w:rPr>
          <w:rStyle w:val="FootnoteReference"/>
          <w:rFonts w:ascii="FrankRuehl" w:hAnsi="FrankRuehl" w:cs="FrankRuehl"/>
          <w:sz w:val="28"/>
          <w:szCs w:val="28"/>
          <w:rtl/>
        </w:rPr>
        <w:footnoteReference w:id="80"/>
      </w:r>
      <w:r w:rsidR="00CB148D" w:rsidRPr="001A0B66">
        <w:rPr>
          <w:rFonts w:ascii="FrankRuehl" w:hAnsi="FrankRuehl" w:cs="FrankRuehl"/>
          <w:sz w:val="28"/>
          <w:szCs w:val="28"/>
          <w:rtl/>
        </w:rPr>
        <w:t xml:space="preserve"> </w:t>
      </w:r>
      <w:r w:rsidR="00B94940" w:rsidRPr="001A0B66">
        <w:rPr>
          <w:rFonts w:ascii="FrankRuehl" w:hAnsi="FrankRuehl" w:cs="FrankRuehl"/>
          <w:sz w:val="28"/>
          <w:szCs w:val="28"/>
          <w:rtl/>
        </w:rPr>
        <w:t xml:space="preserve">התובע הצבאי </w:t>
      </w:r>
      <w:r w:rsidR="00C931A1" w:rsidRPr="001A0B66">
        <w:rPr>
          <w:rFonts w:ascii="FrankRuehl" w:hAnsi="FrankRuehl" w:cs="FrankRuehl"/>
          <w:sz w:val="28"/>
          <w:szCs w:val="28"/>
          <w:rtl/>
        </w:rPr>
        <w:t xml:space="preserve">נמנע שם </w:t>
      </w:r>
      <w:r w:rsidR="00B94940" w:rsidRPr="001A0B66">
        <w:rPr>
          <w:rFonts w:ascii="FrankRuehl" w:hAnsi="FrankRuehl" w:cs="FrankRuehl"/>
          <w:sz w:val="28"/>
          <w:szCs w:val="28"/>
          <w:rtl/>
        </w:rPr>
        <w:t>מלענות על שאלות בא</w:t>
      </w:r>
      <w:r w:rsidR="00E64409" w:rsidRPr="001A0B66">
        <w:rPr>
          <w:rFonts w:ascii="FrankRuehl" w:hAnsi="FrankRuehl" w:cs="FrankRuehl"/>
          <w:sz w:val="28"/>
          <w:szCs w:val="28"/>
          <w:rtl/>
        </w:rPr>
        <w:t xml:space="preserve"> </w:t>
      </w:r>
      <w:r w:rsidR="00B94940" w:rsidRPr="001A0B66">
        <w:rPr>
          <w:rFonts w:ascii="FrankRuehl" w:hAnsi="FrankRuehl" w:cs="FrankRuehl"/>
          <w:sz w:val="28"/>
          <w:szCs w:val="28"/>
          <w:rtl/>
        </w:rPr>
        <w:t xml:space="preserve">כוחו של העציר </w:t>
      </w:r>
      <w:r w:rsidR="00E64409" w:rsidRPr="001A0B66">
        <w:rPr>
          <w:rFonts w:ascii="FrankRuehl" w:hAnsi="FrankRuehl" w:cs="FrankRuehl"/>
          <w:sz w:val="28"/>
          <w:szCs w:val="28"/>
          <w:rtl/>
        </w:rPr>
        <w:t>ה</w:t>
      </w:r>
      <w:r w:rsidR="00B94940" w:rsidRPr="001A0B66">
        <w:rPr>
          <w:rFonts w:ascii="FrankRuehl" w:hAnsi="FrankRuehl" w:cs="FrankRuehl"/>
          <w:sz w:val="28"/>
          <w:szCs w:val="28"/>
          <w:rtl/>
        </w:rPr>
        <w:t>מנהלי, ו</w:t>
      </w:r>
      <w:r w:rsidR="00E64409" w:rsidRPr="001A0B66">
        <w:rPr>
          <w:rFonts w:ascii="FrankRuehl" w:hAnsi="FrankRuehl" w:cs="FrankRuehl"/>
          <w:sz w:val="28"/>
          <w:szCs w:val="28"/>
          <w:rtl/>
        </w:rPr>
        <w:t>בדיון</w:t>
      </w:r>
      <w:r w:rsidR="002F32C4" w:rsidRPr="001A0B66">
        <w:rPr>
          <w:rFonts w:ascii="FrankRuehl" w:hAnsi="FrankRuehl" w:cs="FrankRuehl"/>
          <w:sz w:val="28"/>
          <w:szCs w:val="28"/>
          <w:rtl/>
        </w:rPr>
        <w:t xml:space="preserve"> </w:t>
      </w:r>
      <w:r w:rsidR="00E64409" w:rsidRPr="001A0B66">
        <w:rPr>
          <w:rFonts w:ascii="FrankRuehl" w:hAnsi="FrankRuehl" w:cs="FrankRuehl"/>
          <w:sz w:val="28"/>
          <w:szCs w:val="28"/>
          <w:rtl/>
        </w:rPr>
        <w:t xml:space="preserve">בבית המשפט העליון </w:t>
      </w:r>
      <w:r w:rsidR="00B94940" w:rsidRPr="001A0B66">
        <w:rPr>
          <w:rFonts w:ascii="FrankRuehl" w:hAnsi="FrankRuehl" w:cs="FrankRuehl"/>
          <w:sz w:val="28"/>
          <w:szCs w:val="28"/>
          <w:rtl/>
        </w:rPr>
        <w:t xml:space="preserve">התברר בדיעבד כי התשובות </w:t>
      </w:r>
      <w:r w:rsidR="00E64409" w:rsidRPr="001A0B66">
        <w:rPr>
          <w:rFonts w:ascii="FrankRuehl" w:hAnsi="FrankRuehl" w:cs="FrankRuehl"/>
          <w:sz w:val="28"/>
          <w:szCs w:val="28"/>
          <w:rtl/>
        </w:rPr>
        <w:t xml:space="preserve">לשאלות </w:t>
      </w:r>
      <w:r w:rsidR="00B94940" w:rsidRPr="001A0B66">
        <w:rPr>
          <w:rFonts w:ascii="FrankRuehl" w:hAnsi="FrankRuehl" w:cs="FrankRuehl"/>
          <w:sz w:val="28"/>
          <w:szCs w:val="28"/>
          <w:rtl/>
        </w:rPr>
        <w:t xml:space="preserve">כלל לא היו חסויות. בית המשפט התבטא בחריפות בנוגע לפגם זה בהתנהלות התביעה הצבאית, וחייב אותה למסור לעותר תשובות לשאלות </w:t>
      </w:r>
      <w:r w:rsidR="00E64409" w:rsidRPr="001A0B66">
        <w:rPr>
          <w:rFonts w:ascii="FrankRuehl" w:hAnsi="FrankRuehl" w:cs="FrankRuehl"/>
          <w:sz w:val="28"/>
          <w:szCs w:val="28"/>
          <w:rtl/>
        </w:rPr>
        <w:t>ששאל</w:t>
      </w:r>
      <w:r w:rsidR="00B94940" w:rsidRPr="001A0B66">
        <w:rPr>
          <w:rFonts w:ascii="FrankRuehl" w:hAnsi="FrankRuehl" w:cs="FrankRuehl"/>
          <w:sz w:val="28"/>
          <w:szCs w:val="28"/>
          <w:rtl/>
        </w:rPr>
        <w:t>; אך בה בעת קיבל החלטה שמאשרת את המעצר המנהלי שהוטל</w:t>
      </w:r>
      <w:r w:rsidR="00E64409" w:rsidRPr="001A0B66">
        <w:rPr>
          <w:rFonts w:ascii="FrankRuehl" w:hAnsi="FrankRuehl" w:cs="FrankRuehl"/>
          <w:sz w:val="28"/>
          <w:szCs w:val="28"/>
          <w:rtl/>
        </w:rPr>
        <w:t xml:space="preserve"> לגופו של עניין</w:t>
      </w:r>
      <w:r w:rsidR="00B94940" w:rsidRPr="001A0B66">
        <w:rPr>
          <w:rFonts w:ascii="FrankRuehl" w:hAnsi="FrankRuehl" w:cs="FrankRuehl"/>
          <w:sz w:val="28"/>
          <w:szCs w:val="28"/>
          <w:rtl/>
        </w:rPr>
        <w:t xml:space="preserve"> ודחה את העתירה על בסיס הראיות החסויות.</w:t>
      </w:r>
      <w:r w:rsidR="00C931A1" w:rsidRPr="001A0B66">
        <w:rPr>
          <w:rFonts w:ascii="FrankRuehl" w:hAnsi="FrankRuehl" w:cs="FrankRuehl"/>
          <w:sz w:val="28"/>
          <w:szCs w:val="28"/>
          <w:rtl/>
        </w:rPr>
        <w:t xml:space="preserve"> הביקורת הראויה </w:t>
      </w:r>
      <w:r w:rsidR="00CA6A12" w:rsidRPr="001A0B66">
        <w:rPr>
          <w:rFonts w:ascii="FrankRuehl" w:hAnsi="FrankRuehl" w:cs="FrankRuehl"/>
          <w:sz w:val="28"/>
          <w:szCs w:val="28"/>
          <w:rtl/>
        </w:rPr>
        <w:t xml:space="preserve">שהושמעה </w:t>
      </w:r>
      <w:r w:rsidR="00C931A1" w:rsidRPr="001A0B66">
        <w:rPr>
          <w:rFonts w:ascii="FrankRuehl" w:hAnsi="FrankRuehl" w:cs="FrankRuehl"/>
          <w:sz w:val="28"/>
          <w:szCs w:val="28"/>
          <w:rtl/>
        </w:rPr>
        <w:t>על החלט</w:t>
      </w:r>
      <w:r w:rsidR="00CA77C1" w:rsidRPr="001A0B66">
        <w:rPr>
          <w:rFonts w:ascii="FrankRuehl" w:hAnsi="FrankRuehl" w:cs="FrankRuehl"/>
          <w:sz w:val="28"/>
          <w:szCs w:val="28"/>
          <w:rtl/>
        </w:rPr>
        <w:t>ה זו</w:t>
      </w:r>
      <w:r w:rsidR="00C931A1" w:rsidRPr="001A0B66">
        <w:rPr>
          <w:rFonts w:ascii="FrankRuehl" w:hAnsi="FrankRuehl" w:cs="FrankRuehl"/>
          <w:sz w:val="28"/>
          <w:szCs w:val="28"/>
          <w:rtl/>
        </w:rPr>
        <w:t xml:space="preserve"> היא ש</w:t>
      </w:r>
      <w:r w:rsidR="0060110B" w:rsidRPr="001A0B66">
        <w:rPr>
          <w:rFonts w:ascii="FrankRuehl" w:hAnsi="FrankRuehl" w:cs="FrankRuehl"/>
          <w:sz w:val="28"/>
          <w:szCs w:val="28"/>
          <w:rtl/>
        </w:rPr>
        <w:t xml:space="preserve">בית המשפט </w:t>
      </w:r>
      <w:r w:rsidR="00E64409" w:rsidRPr="001A0B66">
        <w:rPr>
          <w:rFonts w:ascii="FrankRuehl" w:hAnsi="FrankRuehl" w:cs="FrankRuehl"/>
          <w:sz w:val="28"/>
          <w:szCs w:val="28"/>
          <w:rtl/>
        </w:rPr>
        <w:t xml:space="preserve">פסח </w:t>
      </w:r>
      <w:r w:rsidR="00C931A1" w:rsidRPr="001A0B66">
        <w:rPr>
          <w:rFonts w:ascii="FrankRuehl" w:hAnsi="FrankRuehl" w:cs="FrankRuehl"/>
          <w:sz w:val="28"/>
          <w:szCs w:val="28"/>
          <w:rtl/>
        </w:rPr>
        <w:t>על החובה לשמוע את תגובתו של העציר המנהלי ובא</w:t>
      </w:r>
      <w:r w:rsidR="00E64409" w:rsidRPr="001A0B66">
        <w:rPr>
          <w:rFonts w:ascii="FrankRuehl" w:hAnsi="FrankRuehl" w:cs="FrankRuehl"/>
          <w:sz w:val="28"/>
          <w:szCs w:val="28"/>
          <w:rtl/>
        </w:rPr>
        <w:t xml:space="preserve"> </w:t>
      </w:r>
      <w:r w:rsidR="00C931A1" w:rsidRPr="001A0B66">
        <w:rPr>
          <w:rFonts w:ascii="FrankRuehl" w:hAnsi="FrankRuehl" w:cs="FrankRuehl"/>
          <w:sz w:val="28"/>
          <w:szCs w:val="28"/>
          <w:rtl/>
        </w:rPr>
        <w:t>כוחו לאחר מתן התשובות לשאלות שלא נענו בשלב הראשון</w:t>
      </w:r>
      <w:r w:rsidR="00E64409" w:rsidRPr="001A0B66">
        <w:rPr>
          <w:rFonts w:ascii="FrankRuehl" w:hAnsi="FrankRuehl" w:cs="FrankRuehl"/>
          <w:sz w:val="28"/>
          <w:szCs w:val="28"/>
          <w:rtl/>
        </w:rPr>
        <w:t xml:space="preserve"> </w:t>
      </w:r>
      <w:r w:rsidR="00C931A1" w:rsidRPr="001A0B66">
        <w:rPr>
          <w:rFonts w:ascii="FrankRuehl" w:hAnsi="FrankRuehl" w:cs="FrankRuehl"/>
          <w:sz w:val="28"/>
          <w:szCs w:val="28"/>
          <w:rtl/>
        </w:rPr>
        <w:t>טרם הכריע</w:t>
      </w:r>
      <w:r w:rsidR="00925772" w:rsidRPr="001A0B66">
        <w:rPr>
          <w:rFonts w:ascii="FrankRuehl" w:hAnsi="FrankRuehl" w:cs="FrankRuehl"/>
          <w:sz w:val="28"/>
          <w:szCs w:val="28"/>
          <w:rtl/>
        </w:rPr>
        <w:t xml:space="preserve"> </w:t>
      </w:r>
      <w:r w:rsidR="00C931A1" w:rsidRPr="001A0B66">
        <w:rPr>
          <w:rFonts w:ascii="FrankRuehl" w:hAnsi="FrankRuehl" w:cs="FrankRuehl"/>
          <w:sz w:val="28"/>
          <w:szCs w:val="28"/>
          <w:rtl/>
        </w:rPr>
        <w:t>ב</w:t>
      </w:r>
      <w:r w:rsidR="00056218" w:rsidRPr="001A0B66">
        <w:rPr>
          <w:rFonts w:ascii="FrankRuehl" w:hAnsi="FrankRuehl" w:cs="FrankRuehl"/>
          <w:sz w:val="28"/>
          <w:szCs w:val="28"/>
          <w:rtl/>
        </w:rPr>
        <w:t>שאלת ה</w:t>
      </w:r>
      <w:r w:rsidR="00C931A1" w:rsidRPr="001A0B66">
        <w:rPr>
          <w:rFonts w:ascii="FrankRuehl" w:hAnsi="FrankRuehl" w:cs="FrankRuehl"/>
          <w:sz w:val="28"/>
          <w:szCs w:val="28"/>
          <w:rtl/>
        </w:rPr>
        <w:t>הצדקה למעצר מנהלי</w:t>
      </w:r>
      <w:r w:rsidR="00CA6A12" w:rsidRPr="001A0B66">
        <w:rPr>
          <w:rFonts w:ascii="FrankRuehl" w:hAnsi="FrankRuehl" w:cs="FrankRuehl"/>
          <w:sz w:val="28"/>
          <w:szCs w:val="28"/>
          <w:rtl/>
        </w:rPr>
        <w:t>.</w:t>
      </w:r>
      <w:r w:rsidR="004C5B18" w:rsidRPr="001A0B66">
        <w:rPr>
          <w:rStyle w:val="FootnoteReference"/>
          <w:rFonts w:ascii="FrankRuehl" w:hAnsi="FrankRuehl" w:cs="FrankRuehl"/>
          <w:sz w:val="28"/>
          <w:szCs w:val="28"/>
          <w:rtl/>
        </w:rPr>
        <w:footnoteReference w:id="81"/>
      </w:r>
    </w:p>
    <w:p w14:paraId="474F1DDF" w14:textId="77777777" w:rsidR="00BA52B3" w:rsidRPr="001A0B66" w:rsidRDefault="0060110B"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אנו מסכימים עם </w:t>
      </w:r>
      <w:r w:rsidR="00026F7A" w:rsidRPr="001A0B66">
        <w:rPr>
          <w:rFonts w:ascii="FrankRuehl" w:hAnsi="FrankRuehl" w:cs="FrankRuehl"/>
          <w:sz w:val="28"/>
          <w:szCs w:val="28"/>
          <w:rtl/>
        </w:rPr>
        <w:t>מרגלית ושנער</w:t>
      </w:r>
      <w:r w:rsidR="00E64409" w:rsidRPr="001A0B66">
        <w:rPr>
          <w:rFonts w:ascii="FrankRuehl" w:hAnsi="FrankRuehl" w:cs="FrankRuehl"/>
          <w:sz w:val="28"/>
          <w:szCs w:val="28"/>
          <w:rtl/>
        </w:rPr>
        <w:t xml:space="preserve"> –</w:t>
      </w:r>
      <w:r w:rsidR="00F41B31" w:rsidRPr="001A0B66">
        <w:rPr>
          <w:rFonts w:ascii="FrankRuehl" w:hAnsi="FrankRuehl" w:cs="FrankRuehl"/>
          <w:sz w:val="28"/>
          <w:szCs w:val="28"/>
          <w:rtl/>
        </w:rPr>
        <w:t xml:space="preserve"> </w:t>
      </w:r>
      <w:r w:rsidR="00261F80" w:rsidRPr="001A0B66">
        <w:rPr>
          <w:rFonts w:ascii="FrankRuehl" w:hAnsi="FrankRuehl" w:cs="FrankRuehl"/>
          <w:sz w:val="28"/>
          <w:szCs w:val="28"/>
          <w:rtl/>
        </w:rPr>
        <w:t>ש</w:t>
      </w:r>
      <w:r w:rsidR="00E64409" w:rsidRPr="001A0B66">
        <w:rPr>
          <w:rFonts w:ascii="FrankRuehl" w:hAnsi="FrankRuehl" w:cs="FrankRuehl"/>
          <w:sz w:val="28"/>
          <w:szCs w:val="28"/>
          <w:rtl/>
        </w:rPr>
        <w:t xml:space="preserve">מצידם </w:t>
      </w:r>
      <w:r w:rsidR="00261F80" w:rsidRPr="001A0B66">
        <w:rPr>
          <w:rFonts w:ascii="FrankRuehl" w:hAnsi="FrankRuehl" w:cs="FrankRuehl"/>
          <w:sz w:val="28"/>
          <w:szCs w:val="28"/>
          <w:rtl/>
        </w:rPr>
        <w:t xml:space="preserve">מסכימים עם עמדתם של </w:t>
      </w:r>
      <w:proofErr w:type="spellStart"/>
      <w:r w:rsidR="00261F80" w:rsidRPr="001A0B66">
        <w:rPr>
          <w:rFonts w:ascii="FrankRuehl" w:hAnsi="FrankRuehl" w:cs="FrankRuehl"/>
          <w:sz w:val="28"/>
          <w:szCs w:val="28"/>
          <w:rtl/>
        </w:rPr>
        <w:t>פורסיז</w:t>
      </w:r>
      <w:proofErr w:type="spellEnd"/>
      <w:r w:rsidR="00261F80" w:rsidRPr="001A0B66">
        <w:rPr>
          <w:rFonts w:ascii="FrankRuehl" w:hAnsi="FrankRuehl" w:cs="FrankRuehl"/>
          <w:sz w:val="28"/>
          <w:szCs w:val="28"/>
          <w:rtl/>
        </w:rPr>
        <w:t xml:space="preserve"> </w:t>
      </w:r>
      <w:proofErr w:type="spellStart"/>
      <w:r w:rsidR="00261F80" w:rsidRPr="001A0B66">
        <w:rPr>
          <w:rFonts w:ascii="FrankRuehl" w:hAnsi="FrankRuehl" w:cs="FrankRuehl"/>
          <w:sz w:val="28"/>
          <w:szCs w:val="28"/>
          <w:rtl/>
        </w:rPr>
        <w:t>וולדמן</w:t>
      </w:r>
      <w:proofErr w:type="spellEnd"/>
      <w:r w:rsidR="00E64409" w:rsidRPr="001A0B66">
        <w:rPr>
          <w:rFonts w:ascii="FrankRuehl" w:hAnsi="FrankRuehl" w:cs="FrankRuehl"/>
          <w:sz w:val="28"/>
          <w:szCs w:val="28"/>
          <w:rtl/>
        </w:rPr>
        <w:t xml:space="preserve"> –</w:t>
      </w:r>
      <w:r w:rsidR="00261F80" w:rsidRPr="001A0B66">
        <w:rPr>
          <w:rFonts w:ascii="FrankRuehl" w:hAnsi="FrankRuehl" w:cs="FrankRuehl"/>
          <w:sz w:val="28"/>
          <w:szCs w:val="28"/>
          <w:rtl/>
        </w:rPr>
        <w:t xml:space="preserve"> </w:t>
      </w:r>
      <w:r w:rsidRPr="001A0B66">
        <w:rPr>
          <w:rFonts w:ascii="FrankRuehl" w:hAnsi="FrankRuehl" w:cs="FrankRuehl"/>
          <w:sz w:val="28"/>
          <w:szCs w:val="28"/>
          <w:rtl/>
        </w:rPr>
        <w:t xml:space="preserve">כי </w:t>
      </w:r>
      <w:r w:rsidR="00026F7A" w:rsidRPr="001A0B66">
        <w:rPr>
          <w:rFonts w:ascii="FrankRuehl" w:hAnsi="FrankRuehl" w:cs="FrankRuehl"/>
          <w:sz w:val="28"/>
          <w:szCs w:val="28"/>
          <w:rtl/>
        </w:rPr>
        <w:t xml:space="preserve">הכלל </w:t>
      </w:r>
      <w:r w:rsidRPr="001A0B66">
        <w:rPr>
          <w:rFonts w:ascii="FrankRuehl" w:hAnsi="FrankRuehl" w:cs="FrankRuehl"/>
          <w:sz w:val="28"/>
          <w:szCs w:val="28"/>
          <w:rtl/>
        </w:rPr>
        <w:t>ל</w:t>
      </w:r>
      <w:r w:rsidR="00026F7A" w:rsidRPr="001A0B66">
        <w:rPr>
          <w:rFonts w:ascii="FrankRuehl" w:hAnsi="FrankRuehl" w:cs="FrankRuehl"/>
          <w:sz w:val="28"/>
          <w:szCs w:val="28"/>
          <w:rtl/>
        </w:rPr>
        <w:t xml:space="preserve">עניין חסיון חומר צריך להיות של גילוי מקסימלי של החומר לאדם, </w:t>
      </w:r>
      <w:r w:rsidR="00E64409" w:rsidRPr="001A0B66">
        <w:rPr>
          <w:rFonts w:ascii="FrankRuehl" w:hAnsi="FrankRuehl" w:cs="FrankRuehl"/>
          <w:sz w:val="28"/>
          <w:szCs w:val="28"/>
          <w:rtl/>
        </w:rPr>
        <w:t>והסמכות להטיל חיסיון צריכה להינתן</w:t>
      </w:r>
      <w:r w:rsidR="00026F7A" w:rsidRPr="001A0B66">
        <w:rPr>
          <w:rFonts w:ascii="FrankRuehl" w:hAnsi="FrankRuehl" w:cs="FrankRuehl"/>
          <w:sz w:val="28"/>
          <w:szCs w:val="28"/>
          <w:rtl/>
        </w:rPr>
        <w:t xml:space="preserve"> </w:t>
      </w:r>
      <w:r w:rsidR="00E64409" w:rsidRPr="001A0B66">
        <w:rPr>
          <w:rFonts w:ascii="FrankRuehl" w:hAnsi="FrankRuehl" w:cs="FrankRuehl"/>
          <w:sz w:val="28"/>
          <w:szCs w:val="28"/>
          <w:rtl/>
        </w:rPr>
        <w:t>ל</w:t>
      </w:r>
      <w:r w:rsidR="00026F7A" w:rsidRPr="001A0B66">
        <w:rPr>
          <w:rFonts w:ascii="FrankRuehl" w:hAnsi="FrankRuehl" w:cs="FrankRuehl"/>
          <w:sz w:val="28"/>
          <w:szCs w:val="28"/>
          <w:rtl/>
        </w:rPr>
        <w:t>בית המשפט</w:t>
      </w:r>
      <w:r w:rsidR="00925772" w:rsidRPr="001A0B66">
        <w:rPr>
          <w:rFonts w:ascii="FrankRuehl" w:hAnsi="FrankRuehl" w:cs="FrankRuehl"/>
          <w:sz w:val="28"/>
          <w:szCs w:val="28"/>
          <w:rtl/>
        </w:rPr>
        <w:t>, להבדיל מ</w:t>
      </w:r>
      <w:r w:rsidR="00C55CF4" w:rsidRPr="001A0B66">
        <w:rPr>
          <w:rFonts w:ascii="FrankRuehl" w:hAnsi="FrankRuehl" w:cs="FrankRuehl"/>
          <w:sz w:val="28"/>
          <w:szCs w:val="28"/>
          <w:rtl/>
        </w:rPr>
        <w:t>רשויות הביטחון</w:t>
      </w:r>
      <w:r w:rsidR="00026F7A" w:rsidRPr="001A0B66">
        <w:rPr>
          <w:rFonts w:ascii="FrankRuehl" w:hAnsi="FrankRuehl" w:cs="FrankRuehl"/>
          <w:sz w:val="28"/>
          <w:szCs w:val="28"/>
          <w:rtl/>
        </w:rPr>
        <w:t>.</w:t>
      </w:r>
      <w:r w:rsidR="00026F7A" w:rsidRPr="001A0B66">
        <w:rPr>
          <w:rStyle w:val="FootnoteReference"/>
          <w:rFonts w:ascii="FrankRuehl" w:hAnsi="FrankRuehl" w:cs="FrankRuehl"/>
          <w:sz w:val="28"/>
          <w:szCs w:val="28"/>
          <w:rtl/>
        </w:rPr>
        <w:footnoteReference w:id="82"/>
      </w:r>
      <w:r w:rsidR="00026F7A" w:rsidRPr="001A0B66">
        <w:rPr>
          <w:rFonts w:ascii="FrankRuehl" w:hAnsi="FrankRuehl" w:cs="FrankRuehl"/>
          <w:sz w:val="28"/>
          <w:szCs w:val="28"/>
          <w:rtl/>
        </w:rPr>
        <w:t xml:space="preserve"> </w:t>
      </w:r>
      <w:r w:rsidR="00C55CF4" w:rsidRPr="001A0B66">
        <w:rPr>
          <w:rFonts w:ascii="FrankRuehl" w:hAnsi="FrankRuehl" w:cs="FrankRuehl"/>
          <w:sz w:val="28"/>
          <w:szCs w:val="28"/>
          <w:rtl/>
        </w:rPr>
        <w:t xml:space="preserve">זאת ועוד, </w:t>
      </w:r>
      <w:r w:rsidR="00271006" w:rsidRPr="001A0B66">
        <w:rPr>
          <w:rFonts w:ascii="FrankRuehl" w:hAnsi="FrankRuehl" w:cs="FrankRuehl"/>
          <w:sz w:val="28"/>
          <w:szCs w:val="28"/>
          <w:rtl/>
        </w:rPr>
        <w:t>אין</w:t>
      </w:r>
      <w:r w:rsidR="00BA52B3" w:rsidRPr="001A0B66">
        <w:rPr>
          <w:rFonts w:ascii="FrankRuehl" w:hAnsi="FrankRuehl" w:cs="FrankRuehl"/>
          <w:sz w:val="28"/>
          <w:szCs w:val="28"/>
          <w:rtl/>
        </w:rPr>
        <w:t xml:space="preserve"> להסתפק ב</w:t>
      </w:r>
      <w:r w:rsidR="00271006" w:rsidRPr="001A0B66">
        <w:rPr>
          <w:rFonts w:ascii="FrankRuehl" w:hAnsi="FrankRuehl" w:cs="FrankRuehl"/>
          <w:sz w:val="28"/>
          <w:szCs w:val="28"/>
          <w:rtl/>
        </w:rPr>
        <w:t xml:space="preserve">דרישה המקובלת בישראל </w:t>
      </w:r>
      <w:r w:rsidR="002F32C4" w:rsidRPr="001A0B66">
        <w:rPr>
          <w:rFonts w:ascii="FrankRuehl" w:hAnsi="FrankRuehl" w:cs="FrankRuehl"/>
          <w:sz w:val="28"/>
          <w:szCs w:val="28"/>
          <w:rtl/>
        </w:rPr>
        <w:t>כיום</w:t>
      </w:r>
      <w:r w:rsidR="00E64409" w:rsidRPr="001A0B66">
        <w:rPr>
          <w:rFonts w:ascii="FrankRuehl" w:hAnsi="FrankRuehl" w:cs="FrankRuehl"/>
          <w:sz w:val="28"/>
          <w:szCs w:val="28"/>
          <w:rtl/>
        </w:rPr>
        <w:t xml:space="preserve"> כי</w:t>
      </w:r>
      <w:r w:rsidR="00271006" w:rsidRPr="001A0B66">
        <w:rPr>
          <w:rFonts w:ascii="FrankRuehl" w:hAnsi="FrankRuehl" w:cs="FrankRuehl"/>
          <w:sz w:val="28"/>
          <w:szCs w:val="28"/>
          <w:rtl/>
        </w:rPr>
        <w:t xml:space="preserve"> </w:t>
      </w:r>
      <w:r w:rsidR="00E64409" w:rsidRPr="001A0B66">
        <w:rPr>
          <w:rFonts w:ascii="FrankRuehl" w:hAnsi="FrankRuehl" w:cs="FrankRuehl"/>
          <w:sz w:val="28"/>
          <w:szCs w:val="28"/>
          <w:rtl/>
        </w:rPr>
        <w:t>ה</w:t>
      </w:r>
      <w:r w:rsidR="00BA52B3" w:rsidRPr="001A0B66">
        <w:rPr>
          <w:rFonts w:ascii="FrankRuehl" w:hAnsi="FrankRuehl" w:cs="FrankRuehl"/>
          <w:sz w:val="28"/>
          <w:szCs w:val="28"/>
          <w:rtl/>
        </w:rPr>
        <w:t>תמצית</w:t>
      </w:r>
      <w:r w:rsidR="00E64409" w:rsidRPr="001A0B66">
        <w:rPr>
          <w:rFonts w:ascii="FrankRuehl" w:hAnsi="FrankRuehl" w:cs="FrankRuehl"/>
          <w:sz w:val="28"/>
          <w:szCs w:val="28"/>
          <w:rtl/>
        </w:rPr>
        <w:t xml:space="preserve"> תהיה</w:t>
      </w:r>
      <w:r w:rsidR="00BA52B3" w:rsidRPr="001A0B66">
        <w:rPr>
          <w:rFonts w:ascii="FrankRuehl" w:hAnsi="FrankRuehl" w:cs="FrankRuehl"/>
          <w:sz w:val="28"/>
          <w:szCs w:val="28"/>
          <w:rtl/>
        </w:rPr>
        <w:t xml:space="preserve"> </w:t>
      </w:r>
      <w:r w:rsidR="00E64409" w:rsidRPr="001A0B66">
        <w:rPr>
          <w:rFonts w:ascii="FrankRuehl" w:hAnsi="FrankRuehl" w:cs="FrankRuehl"/>
          <w:sz w:val="28"/>
          <w:szCs w:val="28"/>
          <w:rtl/>
        </w:rPr>
        <w:t>"</w:t>
      </w:r>
      <w:r w:rsidR="00BA52B3" w:rsidRPr="001A0B66">
        <w:rPr>
          <w:rFonts w:ascii="FrankRuehl" w:hAnsi="FrankRuehl" w:cs="FrankRuehl"/>
          <w:sz w:val="28"/>
          <w:szCs w:val="28"/>
          <w:rtl/>
        </w:rPr>
        <w:t>מקיפה ככל האפשר"</w:t>
      </w:r>
      <w:r w:rsidR="00E64409" w:rsidRPr="001A0B66">
        <w:rPr>
          <w:rFonts w:ascii="FrankRuehl" w:hAnsi="FrankRuehl" w:cs="FrankRuehl"/>
          <w:sz w:val="28"/>
          <w:szCs w:val="28"/>
          <w:rtl/>
        </w:rPr>
        <w:t>, אלא להבהיר כי</w:t>
      </w:r>
      <w:r w:rsidR="00BA52B3" w:rsidRPr="001A0B66">
        <w:rPr>
          <w:rFonts w:ascii="FrankRuehl" w:hAnsi="FrankRuehl" w:cs="FrankRuehl"/>
          <w:sz w:val="28"/>
          <w:szCs w:val="28"/>
          <w:rtl/>
        </w:rPr>
        <w:t xml:space="preserve"> </w:t>
      </w:r>
      <w:r w:rsidR="002F7D21" w:rsidRPr="001A0B66">
        <w:rPr>
          <w:rFonts w:ascii="FrankRuehl" w:hAnsi="FrankRuehl" w:cs="FrankRuehl"/>
          <w:sz w:val="28"/>
          <w:szCs w:val="28"/>
          <w:rtl/>
        </w:rPr>
        <w:t>"הכנת התמצית תיעשה באופן שיאפשר התגוננות מצד האדם"</w:t>
      </w:r>
      <w:r w:rsidR="00BA52B3" w:rsidRPr="001A0B66">
        <w:rPr>
          <w:rFonts w:ascii="FrankRuehl" w:hAnsi="FrankRuehl" w:cs="FrankRuehl"/>
          <w:sz w:val="28"/>
          <w:szCs w:val="28"/>
          <w:rtl/>
        </w:rPr>
        <w:t xml:space="preserve">. </w:t>
      </w:r>
    </w:p>
    <w:p w14:paraId="4139C8E8" w14:textId="77777777" w:rsidR="00925772" w:rsidRPr="001A0B66" w:rsidRDefault="00CA77C1"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אנו מסכימים </w:t>
      </w:r>
      <w:r w:rsidR="0060110B" w:rsidRPr="001A0B66">
        <w:rPr>
          <w:rFonts w:ascii="FrankRuehl" w:hAnsi="FrankRuehl" w:cs="FrankRuehl"/>
          <w:sz w:val="28"/>
          <w:szCs w:val="28"/>
          <w:rtl/>
        </w:rPr>
        <w:t xml:space="preserve">עוד </w:t>
      </w:r>
      <w:r w:rsidRPr="001A0B66">
        <w:rPr>
          <w:rFonts w:ascii="FrankRuehl" w:hAnsi="FrankRuehl" w:cs="FrankRuehl"/>
          <w:sz w:val="28"/>
          <w:szCs w:val="28"/>
          <w:rtl/>
        </w:rPr>
        <w:t>ש</w:t>
      </w:r>
      <w:r w:rsidR="00026F7A" w:rsidRPr="001A0B66">
        <w:rPr>
          <w:rFonts w:ascii="FrankRuehl" w:hAnsi="FrankRuehl" w:cs="FrankRuehl"/>
          <w:sz w:val="28"/>
          <w:szCs w:val="28"/>
          <w:rtl/>
        </w:rPr>
        <w:t>עור</w:t>
      </w:r>
      <w:r w:rsidR="001177C6" w:rsidRPr="001A0B66">
        <w:rPr>
          <w:rFonts w:ascii="FrankRuehl" w:hAnsi="FrankRuehl" w:cs="FrankRuehl"/>
          <w:sz w:val="28"/>
          <w:szCs w:val="28"/>
          <w:rtl/>
        </w:rPr>
        <w:t>כת</w:t>
      </w:r>
      <w:r w:rsidR="00026F7A" w:rsidRPr="001A0B66">
        <w:rPr>
          <w:rFonts w:ascii="FrankRuehl" w:hAnsi="FrankRuehl" w:cs="FrankRuehl"/>
          <w:sz w:val="28"/>
          <w:szCs w:val="28"/>
          <w:rtl/>
        </w:rPr>
        <w:t xml:space="preserve"> הדין המיוחד</w:t>
      </w:r>
      <w:r w:rsidR="001177C6" w:rsidRPr="001A0B66">
        <w:rPr>
          <w:rFonts w:ascii="FrankRuehl" w:hAnsi="FrankRuehl" w:cs="FrankRuehl"/>
          <w:sz w:val="28"/>
          <w:szCs w:val="28"/>
          <w:rtl/>
        </w:rPr>
        <w:t>ת</w:t>
      </w:r>
      <w:r w:rsidR="00026F7A" w:rsidRPr="001A0B66">
        <w:rPr>
          <w:rFonts w:ascii="FrankRuehl" w:hAnsi="FrankRuehl" w:cs="FrankRuehl"/>
          <w:sz w:val="28"/>
          <w:szCs w:val="28"/>
          <w:rtl/>
        </w:rPr>
        <w:t xml:space="preserve"> צרי</w:t>
      </w:r>
      <w:r w:rsidR="001177C6" w:rsidRPr="001A0B66">
        <w:rPr>
          <w:rFonts w:ascii="FrankRuehl" w:hAnsi="FrankRuehl" w:cs="FrankRuehl"/>
          <w:sz w:val="28"/>
          <w:szCs w:val="28"/>
          <w:rtl/>
        </w:rPr>
        <w:t>כה</w:t>
      </w:r>
      <w:r w:rsidR="00026F7A" w:rsidRPr="001A0B66">
        <w:rPr>
          <w:rFonts w:ascii="FrankRuehl" w:hAnsi="FrankRuehl" w:cs="FrankRuehl"/>
          <w:sz w:val="28"/>
          <w:szCs w:val="28"/>
          <w:rtl/>
        </w:rPr>
        <w:t xml:space="preserve"> להשתתף ב</w:t>
      </w:r>
      <w:r w:rsidR="001842EA" w:rsidRPr="001A0B66">
        <w:rPr>
          <w:rFonts w:ascii="FrankRuehl" w:hAnsi="FrankRuehl" w:cs="FrankRuehl"/>
          <w:sz w:val="28"/>
          <w:szCs w:val="28"/>
          <w:rtl/>
        </w:rPr>
        <w:t xml:space="preserve">הליך </w:t>
      </w:r>
      <w:r w:rsidR="001A0A71" w:rsidRPr="001A0B66">
        <w:rPr>
          <w:rFonts w:ascii="FrankRuehl" w:hAnsi="FrankRuehl" w:cs="FrankRuehl"/>
          <w:sz w:val="28"/>
          <w:szCs w:val="28"/>
          <w:rtl/>
        </w:rPr>
        <w:t xml:space="preserve">ביניים </w:t>
      </w:r>
      <w:r w:rsidR="001842EA" w:rsidRPr="001A0B66">
        <w:rPr>
          <w:rFonts w:ascii="FrankRuehl" w:hAnsi="FrankRuehl" w:cs="FrankRuehl"/>
          <w:sz w:val="28"/>
          <w:szCs w:val="28"/>
          <w:rtl/>
        </w:rPr>
        <w:t xml:space="preserve">שבסופו </w:t>
      </w:r>
      <w:r w:rsidR="00BB00A9" w:rsidRPr="001A0B66">
        <w:rPr>
          <w:rFonts w:ascii="FrankRuehl" w:hAnsi="FrankRuehl" w:cs="FrankRuehl"/>
          <w:sz w:val="28"/>
          <w:szCs w:val="28"/>
          <w:rtl/>
        </w:rPr>
        <w:t>ת</w:t>
      </w:r>
      <w:r w:rsidR="001842EA" w:rsidRPr="001A0B66">
        <w:rPr>
          <w:rFonts w:ascii="FrankRuehl" w:hAnsi="FrankRuehl" w:cs="FrankRuehl"/>
          <w:sz w:val="28"/>
          <w:szCs w:val="28"/>
          <w:rtl/>
        </w:rPr>
        <w:t>ת</w:t>
      </w:r>
      <w:r w:rsidR="00026F7A" w:rsidRPr="001A0B66">
        <w:rPr>
          <w:rFonts w:ascii="FrankRuehl" w:hAnsi="FrankRuehl" w:cs="FrankRuehl"/>
          <w:sz w:val="28"/>
          <w:szCs w:val="28"/>
          <w:rtl/>
        </w:rPr>
        <w:t>קבל החלט</w:t>
      </w:r>
      <w:r w:rsidR="001842EA" w:rsidRPr="001A0B66">
        <w:rPr>
          <w:rFonts w:ascii="FrankRuehl" w:hAnsi="FrankRuehl" w:cs="FrankRuehl"/>
          <w:sz w:val="28"/>
          <w:szCs w:val="28"/>
          <w:rtl/>
        </w:rPr>
        <w:t>ת בית המשפט בשאלה</w:t>
      </w:r>
      <w:r w:rsidR="00026F7A" w:rsidRPr="001A0B66">
        <w:rPr>
          <w:rFonts w:ascii="FrankRuehl" w:hAnsi="FrankRuehl" w:cs="FrankRuehl"/>
          <w:sz w:val="28"/>
          <w:szCs w:val="28"/>
          <w:rtl/>
        </w:rPr>
        <w:t xml:space="preserve"> איזה חומר</w:t>
      </w:r>
      <w:r w:rsidR="00BB00A9" w:rsidRPr="001A0B66">
        <w:rPr>
          <w:rFonts w:ascii="FrankRuehl" w:hAnsi="FrankRuehl" w:cs="FrankRuehl"/>
          <w:sz w:val="28"/>
          <w:szCs w:val="28"/>
          <w:rtl/>
        </w:rPr>
        <w:t xml:space="preserve"> –</w:t>
      </w:r>
      <w:r w:rsidR="00026F7A" w:rsidRPr="001A0B66">
        <w:rPr>
          <w:rFonts w:ascii="FrankRuehl" w:hAnsi="FrankRuehl" w:cs="FrankRuehl"/>
          <w:sz w:val="28"/>
          <w:szCs w:val="28"/>
          <w:rtl/>
        </w:rPr>
        <w:t xml:space="preserve"> אם בכלל</w:t>
      </w:r>
      <w:r w:rsidR="00BB00A9" w:rsidRPr="001A0B66">
        <w:rPr>
          <w:rFonts w:ascii="FrankRuehl" w:hAnsi="FrankRuehl" w:cs="FrankRuehl"/>
          <w:sz w:val="28"/>
          <w:szCs w:val="28"/>
          <w:rtl/>
        </w:rPr>
        <w:t xml:space="preserve"> –</w:t>
      </w:r>
      <w:r w:rsidR="00026F7A" w:rsidRPr="001A0B66">
        <w:rPr>
          <w:rFonts w:ascii="FrankRuehl" w:hAnsi="FrankRuehl" w:cs="FrankRuehl"/>
          <w:sz w:val="28"/>
          <w:szCs w:val="28"/>
          <w:rtl/>
        </w:rPr>
        <w:t xml:space="preserve"> יוסתר </w:t>
      </w:r>
      <w:r w:rsidR="0060110B" w:rsidRPr="001A0B66">
        <w:rPr>
          <w:rFonts w:ascii="FrankRuehl" w:hAnsi="FrankRuehl" w:cs="FrankRuehl"/>
          <w:sz w:val="28"/>
          <w:szCs w:val="28"/>
          <w:rtl/>
        </w:rPr>
        <w:t>מהאדם</w:t>
      </w:r>
      <w:r w:rsidR="00026F7A" w:rsidRPr="001A0B66">
        <w:rPr>
          <w:rFonts w:ascii="FrankRuehl" w:hAnsi="FrankRuehl" w:cs="FrankRuehl"/>
          <w:sz w:val="28"/>
          <w:szCs w:val="28"/>
          <w:rtl/>
        </w:rPr>
        <w:t xml:space="preserve">. נוסח סעיף המטרה </w:t>
      </w:r>
      <w:r w:rsidR="00264DF0" w:rsidRPr="001A0B66">
        <w:rPr>
          <w:rFonts w:ascii="FrankRuehl" w:hAnsi="FrankRuehl" w:cs="FrankRuehl"/>
          <w:sz w:val="28"/>
          <w:szCs w:val="28"/>
          <w:rtl/>
        </w:rPr>
        <w:t>בהצעת החוק</w:t>
      </w:r>
      <w:r w:rsidR="00335E6E" w:rsidRPr="001A0B66">
        <w:rPr>
          <w:rFonts w:ascii="FrankRuehl" w:hAnsi="FrankRuehl" w:cs="FrankRuehl"/>
          <w:sz w:val="28"/>
          <w:szCs w:val="28"/>
          <w:rtl/>
        </w:rPr>
        <w:t xml:space="preserve"> שבפנינו</w:t>
      </w:r>
      <w:r w:rsidR="00264DF0" w:rsidRPr="001A0B66">
        <w:rPr>
          <w:rFonts w:ascii="FrankRuehl" w:hAnsi="FrankRuehl" w:cs="FrankRuehl"/>
          <w:sz w:val="28"/>
          <w:szCs w:val="28"/>
          <w:rtl/>
        </w:rPr>
        <w:t xml:space="preserve"> וכן נוסח ה</w:t>
      </w:r>
      <w:r w:rsidR="00026F7A" w:rsidRPr="001A0B66">
        <w:rPr>
          <w:rFonts w:ascii="FrankRuehl" w:hAnsi="FrankRuehl" w:cs="FrankRuehl"/>
          <w:sz w:val="28"/>
          <w:szCs w:val="28"/>
          <w:rtl/>
        </w:rPr>
        <w:t xml:space="preserve">סעיף </w:t>
      </w:r>
      <w:r w:rsidR="00264DF0" w:rsidRPr="001A0B66">
        <w:rPr>
          <w:rFonts w:ascii="FrankRuehl" w:hAnsi="FrankRuehl" w:cs="FrankRuehl"/>
          <w:sz w:val="28"/>
          <w:szCs w:val="28"/>
          <w:rtl/>
        </w:rPr>
        <w:t xml:space="preserve">בדבר </w:t>
      </w:r>
      <w:r w:rsidR="00026F7A" w:rsidRPr="001A0B66">
        <w:rPr>
          <w:rFonts w:ascii="FrankRuehl" w:hAnsi="FrankRuehl" w:cs="FrankRuehl"/>
          <w:sz w:val="28"/>
          <w:szCs w:val="28"/>
          <w:rtl/>
        </w:rPr>
        <w:t>תפקידי עור</w:t>
      </w:r>
      <w:r w:rsidR="00634FC2" w:rsidRPr="001A0B66">
        <w:rPr>
          <w:rFonts w:ascii="FrankRuehl" w:hAnsi="FrankRuehl" w:cs="FrankRuehl"/>
          <w:sz w:val="28"/>
          <w:szCs w:val="28"/>
          <w:rtl/>
        </w:rPr>
        <w:t>ך הדין</w:t>
      </w:r>
      <w:r w:rsidR="00335E6E" w:rsidRPr="001A0B66">
        <w:rPr>
          <w:rFonts w:ascii="FrankRuehl" w:hAnsi="FrankRuehl" w:cs="FrankRuehl"/>
          <w:sz w:val="28"/>
          <w:szCs w:val="28"/>
          <w:rtl/>
        </w:rPr>
        <w:t xml:space="preserve"> </w:t>
      </w:r>
      <w:r w:rsidR="00EB1356" w:rsidRPr="001A0B66">
        <w:rPr>
          <w:rFonts w:ascii="FrankRuehl" w:hAnsi="FrankRuehl" w:cs="FrankRuehl"/>
          <w:sz w:val="28"/>
          <w:szCs w:val="28"/>
          <w:rtl/>
        </w:rPr>
        <w:t>יכולים</w:t>
      </w:r>
      <w:r w:rsidR="00335E6E" w:rsidRPr="001A0B66">
        <w:rPr>
          <w:rFonts w:ascii="FrankRuehl" w:hAnsi="FrankRuehl" w:cs="FrankRuehl"/>
          <w:sz w:val="28"/>
          <w:szCs w:val="28"/>
          <w:rtl/>
        </w:rPr>
        <w:t xml:space="preserve"> להיות בהירים יותר בהקשר זה, אך נראה שהם מכוונים </w:t>
      </w:r>
      <w:r w:rsidRPr="001A0B66">
        <w:rPr>
          <w:rFonts w:ascii="FrankRuehl" w:hAnsi="FrankRuehl" w:cs="FrankRuehl"/>
          <w:sz w:val="28"/>
          <w:szCs w:val="28"/>
          <w:rtl/>
        </w:rPr>
        <w:t>לכך</w:t>
      </w:r>
      <w:r w:rsidR="00335E6E" w:rsidRPr="001A0B66">
        <w:rPr>
          <w:rFonts w:ascii="FrankRuehl" w:hAnsi="FrankRuehl" w:cs="FrankRuehl"/>
          <w:sz w:val="28"/>
          <w:szCs w:val="28"/>
          <w:rtl/>
        </w:rPr>
        <w:t xml:space="preserve">. </w:t>
      </w:r>
      <w:r w:rsidR="00026F7A" w:rsidRPr="001A0B66">
        <w:rPr>
          <w:rFonts w:ascii="FrankRuehl" w:hAnsi="FrankRuehl" w:cs="FrankRuehl"/>
          <w:sz w:val="28"/>
          <w:szCs w:val="28"/>
          <w:rtl/>
        </w:rPr>
        <w:t>ב</w:t>
      </w:r>
      <w:r w:rsidR="00264DF0" w:rsidRPr="001A0B66">
        <w:rPr>
          <w:rFonts w:ascii="FrankRuehl" w:hAnsi="FrankRuehl" w:cs="FrankRuehl"/>
          <w:sz w:val="28"/>
          <w:szCs w:val="28"/>
          <w:rtl/>
        </w:rPr>
        <w:t>הצעת החוק</w:t>
      </w:r>
      <w:r w:rsidR="00026F7A" w:rsidRPr="001A0B66">
        <w:rPr>
          <w:rFonts w:ascii="FrankRuehl" w:hAnsi="FrankRuehl" w:cs="FrankRuehl"/>
          <w:sz w:val="28"/>
          <w:szCs w:val="28"/>
          <w:rtl/>
        </w:rPr>
        <w:t xml:space="preserve"> </w:t>
      </w:r>
      <w:r w:rsidR="00BB00A9" w:rsidRPr="001A0B66">
        <w:rPr>
          <w:rFonts w:ascii="FrankRuehl" w:hAnsi="FrankRuehl" w:cs="FrankRuehl"/>
          <w:sz w:val="28"/>
          <w:szCs w:val="28"/>
          <w:rtl/>
        </w:rPr>
        <w:t>נכתב</w:t>
      </w:r>
      <w:r w:rsidR="00026F7A" w:rsidRPr="001A0B66">
        <w:rPr>
          <w:rFonts w:ascii="FrankRuehl" w:hAnsi="FrankRuehl" w:cs="FrankRuehl"/>
          <w:sz w:val="28"/>
          <w:szCs w:val="28"/>
          <w:rtl/>
        </w:rPr>
        <w:t xml:space="preserve"> כי עורך הדין המיוחד "יפעל על מנת להגן על עניינו של האדם שכנגדו ננקטים ההליכים", </w:t>
      </w:r>
      <w:r w:rsidR="00335E6E" w:rsidRPr="001A0B66">
        <w:rPr>
          <w:rFonts w:ascii="FrankRuehl" w:hAnsi="FrankRuehl" w:cs="FrankRuehl"/>
          <w:sz w:val="28"/>
          <w:szCs w:val="28"/>
          <w:rtl/>
        </w:rPr>
        <w:t xml:space="preserve">והגנה זו </w:t>
      </w:r>
      <w:r w:rsidR="00BD3224" w:rsidRPr="001A0B66">
        <w:rPr>
          <w:rFonts w:ascii="FrankRuehl" w:hAnsi="FrankRuehl" w:cs="FrankRuehl"/>
          <w:sz w:val="28"/>
          <w:szCs w:val="28"/>
          <w:rtl/>
        </w:rPr>
        <w:t xml:space="preserve">הרי </w:t>
      </w:r>
      <w:r w:rsidR="00335E6E" w:rsidRPr="001A0B66">
        <w:rPr>
          <w:rFonts w:ascii="FrankRuehl" w:hAnsi="FrankRuehl" w:cs="FrankRuehl"/>
          <w:sz w:val="28"/>
          <w:szCs w:val="28"/>
          <w:rtl/>
        </w:rPr>
        <w:t xml:space="preserve">לא תיכון ללא </w:t>
      </w:r>
      <w:r w:rsidR="00026F7A" w:rsidRPr="001A0B66">
        <w:rPr>
          <w:rFonts w:ascii="FrankRuehl" w:hAnsi="FrankRuehl" w:cs="FrankRuehl"/>
          <w:sz w:val="28"/>
          <w:szCs w:val="28"/>
          <w:rtl/>
        </w:rPr>
        <w:t xml:space="preserve">האפשרות </w:t>
      </w:r>
      <w:r w:rsidR="002F32C4" w:rsidRPr="001A0B66">
        <w:rPr>
          <w:rFonts w:ascii="FrankRuehl" w:hAnsi="FrankRuehl" w:cs="FrankRuehl"/>
          <w:sz w:val="28"/>
          <w:szCs w:val="28"/>
          <w:rtl/>
        </w:rPr>
        <w:t xml:space="preserve">להעמיד במבחן </w:t>
      </w:r>
      <w:r w:rsidR="00026F7A" w:rsidRPr="001A0B66">
        <w:rPr>
          <w:rFonts w:ascii="FrankRuehl" w:hAnsi="FrankRuehl" w:cs="FrankRuehl"/>
          <w:sz w:val="28"/>
          <w:szCs w:val="28"/>
          <w:rtl/>
        </w:rPr>
        <w:t>את קביעות גורמי הביטחון בעניין עצם הח</w:t>
      </w:r>
      <w:r w:rsidR="00EB1356" w:rsidRPr="001A0B66">
        <w:rPr>
          <w:rFonts w:ascii="FrankRuehl" w:hAnsi="FrankRuehl" w:cs="FrankRuehl"/>
          <w:sz w:val="28"/>
          <w:szCs w:val="28"/>
          <w:rtl/>
        </w:rPr>
        <w:t>י</w:t>
      </w:r>
      <w:r w:rsidR="00026F7A" w:rsidRPr="001A0B66">
        <w:rPr>
          <w:rFonts w:ascii="FrankRuehl" w:hAnsi="FrankRuehl" w:cs="FrankRuehl"/>
          <w:sz w:val="28"/>
          <w:szCs w:val="28"/>
          <w:rtl/>
        </w:rPr>
        <w:t xml:space="preserve">סיון של החומרים השונים. </w:t>
      </w:r>
      <w:r w:rsidR="00642C6A" w:rsidRPr="001A0B66">
        <w:rPr>
          <w:rFonts w:ascii="FrankRuehl" w:hAnsi="FrankRuehl" w:cs="FrankRuehl"/>
          <w:sz w:val="28"/>
          <w:szCs w:val="28"/>
          <w:rtl/>
        </w:rPr>
        <w:t xml:space="preserve">יתר על כן, </w:t>
      </w:r>
      <w:r w:rsidR="00BB00A9" w:rsidRPr="001A0B66">
        <w:rPr>
          <w:rFonts w:ascii="FrankRuehl" w:hAnsi="FrankRuehl" w:cs="FrankRuehl"/>
          <w:sz w:val="28"/>
          <w:szCs w:val="28"/>
          <w:rtl/>
        </w:rPr>
        <w:t xml:space="preserve">על פי </w:t>
      </w:r>
      <w:r w:rsidR="00642C6A" w:rsidRPr="001A0B66">
        <w:rPr>
          <w:rFonts w:ascii="FrankRuehl" w:hAnsi="FrankRuehl" w:cs="FrankRuehl"/>
          <w:sz w:val="28"/>
          <w:szCs w:val="28"/>
          <w:rtl/>
        </w:rPr>
        <w:t xml:space="preserve">סע' 9 להצעה "אין באמור בחוק זה כדי לפגוע בזכויות האדם שנגדו ננקט ההליך החסוי לכל </w:t>
      </w:r>
      <w:r w:rsidR="00642C6A" w:rsidRPr="001A0B66">
        <w:rPr>
          <w:rFonts w:ascii="FrankRuehl" w:hAnsi="FrankRuehl" w:cs="FrankRuehl"/>
          <w:sz w:val="28"/>
          <w:szCs w:val="28"/>
          <w:rtl/>
        </w:rPr>
        <w:lastRenderedPageBreak/>
        <w:t xml:space="preserve">הליך או לכל טענה, לרבות זכותו להתנגד לעצם קיומו של ההליך החסוי". </w:t>
      </w:r>
      <w:r w:rsidR="00BD3224" w:rsidRPr="001A0B66">
        <w:rPr>
          <w:rFonts w:ascii="FrankRuehl" w:hAnsi="FrankRuehl" w:cs="FrankRuehl"/>
          <w:sz w:val="28"/>
          <w:szCs w:val="28"/>
          <w:rtl/>
        </w:rPr>
        <w:t xml:space="preserve">עם זאת, </w:t>
      </w:r>
      <w:r w:rsidR="00261F80" w:rsidRPr="001A0B66">
        <w:rPr>
          <w:rFonts w:ascii="FrankRuehl" w:hAnsi="FrankRuehl" w:cs="FrankRuehl"/>
          <w:sz w:val="28"/>
          <w:szCs w:val="28"/>
          <w:rtl/>
        </w:rPr>
        <w:t>נראה לנו נכון</w:t>
      </w:r>
      <w:r w:rsidR="00BD3224" w:rsidRPr="001A0B66">
        <w:rPr>
          <w:rFonts w:ascii="FrankRuehl" w:hAnsi="FrankRuehl" w:cs="FrankRuehl"/>
          <w:sz w:val="28"/>
          <w:szCs w:val="28"/>
          <w:rtl/>
        </w:rPr>
        <w:t xml:space="preserve"> כי </w:t>
      </w:r>
      <w:r w:rsidRPr="001A0B66">
        <w:rPr>
          <w:rFonts w:ascii="FrankRuehl" w:hAnsi="FrankRuehl" w:cs="FrankRuehl"/>
          <w:sz w:val="28"/>
          <w:szCs w:val="28"/>
          <w:rtl/>
        </w:rPr>
        <w:t xml:space="preserve">הצעת החוק תכלול </w:t>
      </w:r>
      <w:r w:rsidR="00BD3224" w:rsidRPr="001A0B66">
        <w:rPr>
          <w:rFonts w:ascii="FrankRuehl" w:hAnsi="FrankRuehl" w:cs="FrankRuehl"/>
          <w:sz w:val="28"/>
          <w:szCs w:val="28"/>
          <w:rtl/>
        </w:rPr>
        <w:t xml:space="preserve">נוסח בהיר </w:t>
      </w:r>
      <w:r w:rsidR="00642C6A" w:rsidRPr="001A0B66">
        <w:rPr>
          <w:rFonts w:ascii="FrankRuehl" w:hAnsi="FrankRuehl" w:cs="FrankRuehl"/>
          <w:sz w:val="28"/>
          <w:szCs w:val="28"/>
          <w:rtl/>
        </w:rPr>
        <w:t xml:space="preserve">עוד </w:t>
      </w:r>
      <w:r w:rsidR="00BD3224" w:rsidRPr="001A0B66">
        <w:rPr>
          <w:rFonts w:ascii="FrankRuehl" w:hAnsi="FrankRuehl" w:cs="FrankRuehl"/>
          <w:sz w:val="28"/>
          <w:szCs w:val="28"/>
          <w:rtl/>
        </w:rPr>
        <w:t>יותר בהקשר זה</w:t>
      </w:r>
      <w:r w:rsidR="009515D7" w:rsidRPr="001A0B66">
        <w:rPr>
          <w:rFonts w:ascii="FrankRuehl" w:hAnsi="FrankRuehl" w:cs="FrankRuehl"/>
          <w:sz w:val="28"/>
          <w:szCs w:val="28"/>
          <w:rtl/>
        </w:rPr>
        <w:t>;</w:t>
      </w:r>
      <w:r w:rsidR="00BD3224" w:rsidRPr="001A0B66">
        <w:rPr>
          <w:rFonts w:ascii="FrankRuehl" w:hAnsi="FrankRuehl" w:cs="FrankRuehl"/>
          <w:sz w:val="28"/>
          <w:szCs w:val="28"/>
          <w:rtl/>
        </w:rPr>
        <w:t xml:space="preserve"> </w:t>
      </w:r>
      <w:r w:rsidR="00BB00A9" w:rsidRPr="001A0B66">
        <w:rPr>
          <w:rFonts w:ascii="FrankRuehl" w:hAnsi="FrankRuehl" w:cs="FrankRuehl"/>
          <w:sz w:val="28"/>
          <w:szCs w:val="28"/>
          <w:rtl/>
        </w:rPr>
        <w:t>זה הנוסח שאנו מציעים</w:t>
      </w:r>
      <w:r w:rsidR="00925772" w:rsidRPr="001A0B66">
        <w:rPr>
          <w:rFonts w:ascii="FrankRuehl" w:hAnsi="FrankRuehl" w:cs="FrankRuehl"/>
          <w:sz w:val="28"/>
          <w:szCs w:val="28"/>
          <w:rtl/>
        </w:rPr>
        <w:t xml:space="preserve">: </w:t>
      </w:r>
    </w:p>
    <w:p w14:paraId="60DD3E67" w14:textId="77777777" w:rsidR="00026F7A" w:rsidRPr="001A0B66" w:rsidRDefault="001B21F5" w:rsidP="00F307FB">
      <w:pPr>
        <w:pStyle w:val="Quote"/>
        <w:spacing w:line="276" w:lineRule="auto"/>
        <w:rPr>
          <w:rFonts w:ascii="FrankRuehl" w:hAnsi="FrankRuehl" w:cs="FrankRuehl"/>
          <w:sz w:val="28"/>
          <w:szCs w:val="28"/>
          <w:rtl/>
        </w:rPr>
      </w:pPr>
      <w:bookmarkStart w:id="71" w:name="_Hlk64060951"/>
      <w:r w:rsidRPr="001A0B66">
        <w:rPr>
          <w:rFonts w:ascii="FrankRuehl" w:hAnsi="FrankRuehl" w:cs="FrankRuehl"/>
          <w:sz w:val="28"/>
          <w:szCs w:val="28"/>
          <w:rtl/>
        </w:rPr>
        <w:t>"</w:t>
      </w:r>
      <w:r w:rsidR="002F7D21" w:rsidRPr="001A0B66">
        <w:rPr>
          <w:rFonts w:ascii="FrankRuehl" w:hAnsi="FrankRuehl" w:cs="FrankRuehl"/>
          <w:sz w:val="28"/>
          <w:szCs w:val="28"/>
          <w:rtl/>
        </w:rPr>
        <w:t xml:space="preserve">כל מידע חסוי ילווה בתמצית של מידע זה כחלק מהצו המגביל שהוצא נגד האדם או כחלק מהפעולה השלטונית האחרת שהתקיימה בעניינו. </w:t>
      </w:r>
      <w:bookmarkStart w:id="72" w:name="_Hlk67737955"/>
      <w:r w:rsidR="002F7D21" w:rsidRPr="001A0B66">
        <w:rPr>
          <w:rFonts w:ascii="FrankRuehl" w:hAnsi="FrankRuehl" w:cs="FrankRuehl"/>
          <w:sz w:val="28"/>
          <w:szCs w:val="28"/>
          <w:rtl/>
        </w:rPr>
        <w:t>הכנת התמצית תיעשה באופן שיאפשר התגוננות מצד האדם</w:t>
      </w:r>
      <w:bookmarkEnd w:id="72"/>
      <w:r w:rsidR="002F7D21" w:rsidRPr="001A0B66">
        <w:rPr>
          <w:rFonts w:ascii="FrankRuehl" w:hAnsi="FrankRuehl" w:cs="FrankRuehl"/>
          <w:sz w:val="28"/>
          <w:szCs w:val="28"/>
          <w:rtl/>
        </w:rPr>
        <w:t>, והיא תציג לפיכך במלוא הפירוט האפשרי את הגלום במידע החסוי ואת הנטען על יסודו, כדי לאפשר לו הצגת ראיות וטיעוני נגד</w:t>
      </w:r>
      <w:r w:rsidRPr="001A0B66">
        <w:rPr>
          <w:rFonts w:ascii="FrankRuehl" w:hAnsi="FrankRuehl" w:cs="FrankRuehl"/>
          <w:sz w:val="28"/>
          <w:szCs w:val="28"/>
        </w:rPr>
        <w:t>"</w:t>
      </w:r>
      <w:r w:rsidR="00925772" w:rsidRPr="001A0B66">
        <w:rPr>
          <w:rFonts w:ascii="FrankRuehl" w:hAnsi="FrankRuehl" w:cs="FrankRuehl"/>
          <w:sz w:val="28"/>
          <w:szCs w:val="28"/>
        </w:rPr>
        <w:t>.</w:t>
      </w:r>
    </w:p>
    <w:bookmarkEnd w:id="71"/>
    <w:p w14:paraId="22AFD242" w14:textId="77777777" w:rsidR="003265BA" w:rsidRDefault="00FA7CF9"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חיוניותה של </w:t>
      </w:r>
      <w:r w:rsidR="002F32C4" w:rsidRPr="001A0B66">
        <w:rPr>
          <w:rFonts w:ascii="FrankRuehl" w:hAnsi="FrankRuehl" w:cs="FrankRuehl"/>
          <w:sz w:val="28"/>
          <w:szCs w:val="28"/>
          <w:rtl/>
        </w:rPr>
        <w:t>תמצית</w:t>
      </w:r>
      <w:r w:rsidRPr="001A0B66">
        <w:rPr>
          <w:rFonts w:ascii="FrankRuehl" w:hAnsi="FrankRuehl" w:cs="FrankRuehl"/>
          <w:sz w:val="28"/>
          <w:szCs w:val="28"/>
          <w:rtl/>
        </w:rPr>
        <w:t xml:space="preserve"> מפורטת</w:t>
      </w:r>
      <w:r w:rsidR="00BB00A9" w:rsidRPr="001A0B66">
        <w:rPr>
          <w:rFonts w:ascii="FrankRuehl" w:hAnsi="FrankRuehl" w:cs="FrankRuehl"/>
          <w:sz w:val="28"/>
          <w:szCs w:val="28"/>
          <w:rtl/>
        </w:rPr>
        <w:t xml:space="preserve"> נובעת</w:t>
      </w:r>
      <w:r w:rsidR="00CA77C1" w:rsidRPr="001A0B66">
        <w:rPr>
          <w:rFonts w:ascii="FrankRuehl" w:hAnsi="FrankRuehl" w:cs="FrankRuehl"/>
          <w:sz w:val="28"/>
          <w:szCs w:val="28"/>
          <w:rtl/>
        </w:rPr>
        <w:t xml:space="preserve"> </w:t>
      </w:r>
      <w:r w:rsidR="00BB00A9" w:rsidRPr="001A0B66">
        <w:rPr>
          <w:rFonts w:ascii="FrankRuehl" w:hAnsi="FrankRuehl" w:cs="FrankRuehl"/>
          <w:sz w:val="28"/>
          <w:szCs w:val="28"/>
          <w:rtl/>
        </w:rPr>
        <w:t xml:space="preserve">גם מן </w:t>
      </w:r>
      <w:r w:rsidR="00CA77C1" w:rsidRPr="001A0B66">
        <w:rPr>
          <w:rFonts w:ascii="FrankRuehl" w:hAnsi="FrankRuehl" w:cs="FrankRuehl"/>
          <w:sz w:val="28"/>
          <w:szCs w:val="28"/>
          <w:rtl/>
        </w:rPr>
        <w:t>ה</w:t>
      </w:r>
      <w:r w:rsidRPr="001A0B66">
        <w:rPr>
          <w:rFonts w:ascii="FrankRuehl" w:hAnsi="FrankRuehl" w:cs="FrankRuehl"/>
          <w:sz w:val="28"/>
          <w:szCs w:val="28"/>
          <w:rtl/>
        </w:rPr>
        <w:t xml:space="preserve">מועד שבו </w:t>
      </w:r>
      <w:r w:rsidR="003259D8" w:rsidRPr="001A0B66">
        <w:rPr>
          <w:rFonts w:ascii="FrankRuehl" w:hAnsi="FrankRuehl" w:cs="FrankRuehl"/>
          <w:sz w:val="28"/>
          <w:szCs w:val="28"/>
          <w:rtl/>
        </w:rPr>
        <w:t xml:space="preserve">על </w:t>
      </w:r>
      <w:r w:rsidRPr="001A0B66">
        <w:rPr>
          <w:rFonts w:ascii="FrankRuehl" w:hAnsi="FrankRuehl" w:cs="FrankRuehl"/>
          <w:sz w:val="28"/>
          <w:szCs w:val="28"/>
          <w:rtl/>
        </w:rPr>
        <w:t xml:space="preserve">חומר הראיות החסוי להיחשף בפני עורך הדין המיוחד. ההסדר המוצע בהצעת החוק מונע </w:t>
      </w:r>
      <w:r w:rsidR="00335E6E" w:rsidRPr="001A0B66">
        <w:rPr>
          <w:rFonts w:ascii="FrankRuehl" w:hAnsi="FrankRuehl" w:cs="FrankRuehl"/>
          <w:sz w:val="28"/>
          <w:szCs w:val="28"/>
          <w:rtl/>
        </w:rPr>
        <w:t>תקשורת</w:t>
      </w:r>
      <w:r w:rsidR="008B7286" w:rsidRPr="001A0B66">
        <w:rPr>
          <w:rFonts w:ascii="FrankRuehl" w:hAnsi="FrankRuehl" w:cs="FrankRuehl"/>
          <w:sz w:val="28"/>
          <w:szCs w:val="28"/>
          <w:rtl/>
        </w:rPr>
        <w:t xml:space="preserve"> בין</w:t>
      </w:r>
      <w:r w:rsidR="002F32C4" w:rsidRPr="001A0B66">
        <w:rPr>
          <w:rFonts w:ascii="FrankRuehl" w:hAnsi="FrankRuehl" w:cs="FrankRuehl"/>
          <w:sz w:val="28"/>
          <w:szCs w:val="28"/>
          <w:rtl/>
        </w:rPr>
        <w:t xml:space="preserve"> האדם ל</w:t>
      </w:r>
      <w:r w:rsidR="008B7286" w:rsidRPr="001A0B66">
        <w:rPr>
          <w:rFonts w:ascii="FrankRuehl" w:hAnsi="FrankRuehl" w:cs="FrankRuehl"/>
          <w:sz w:val="28"/>
          <w:szCs w:val="28"/>
          <w:rtl/>
        </w:rPr>
        <w:t>עורך הדין המיוחד לאחר ש</w:t>
      </w:r>
      <w:r w:rsidR="002F32C4" w:rsidRPr="001A0B66">
        <w:rPr>
          <w:rFonts w:ascii="FrankRuehl" w:hAnsi="FrankRuehl" w:cs="FrankRuehl"/>
          <w:sz w:val="28"/>
          <w:szCs w:val="28"/>
          <w:rtl/>
        </w:rPr>
        <w:t>ז</w:t>
      </w:r>
      <w:r w:rsidR="008B7286" w:rsidRPr="001A0B66">
        <w:rPr>
          <w:rFonts w:ascii="FrankRuehl" w:hAnsi="FrankRuehl" w:cs="FrankRuehl"/>
          <w:sz w:val="28"/>
          <w:szCs w:val="28"/>
          <w:rtl/>
        </w:rPr>
        <w:t>ה נחשף לראיות החסויות</w:t>
      </w:r>
      <w:r w:rsidRPr="001A0B66">
        <w:rPr>
          <w:rFonts w:ascii="FrankRuehl" w:hAnsi="FrankRuehl" w:cs="FrankRuehl"/>
          <w:sz w:val="28"/>
          <w:szCs w:val="28"/>
          <w:rtl/>
        </w:rPr>
        <w:t xml:space="preserve">. </w:t>
      </w:r>
      <w:r w:rsidR="003259D8" w:rsidRPr="001A0B66">
        <w:rPr>
          <w:rFonts w:ascii="FrankRuehl" w:hAnsi="FrankRuehl" w:cs="FrankRuehl"/>
          <w:sz w:val="28"/>
          <w:szCs w:val="28"/>
          <w:rtl/>
        </w:rPr>
        <w:t>מכיוון</w:t>
      </w:r>
      <w:r w:rsidR="008B7286" w:rsidRPr="001A0B66">
        <w:rPr>
          <w:rFonts w:ascii="FrankRuehl" w:hAnsi="FrankRuehl" w:cs="FrankRuehl"/>
          <w:sz w:val="28"/>
          <w:szCs w:val="28"/>
          <w:rtl/>
        </w:rPr>
        <w:t xml:space="preserve"> ש</w:t>
      </w:r>
      <w:r w:rsidR="003259D8" w:rsidRPr="001A0B66">
        <w:rPr>
          <w:rFonts w:ascii="FrankRuehl" w:hAnsi="FrankRuehl" w:cs="FrankRuehl"/>
          <w:sz w:val="28"/>
          <w:szCs w:val="28"/>
          <w:rtl/>
        </w:rPr>
        <w:t xml:space="preserve">על </w:t>
      </w:r>
      <w:r w:rsidR="008B7286" w:rsidRPr="001A0B66">
        <w:rPr>
          <w:rFonts w:ascii="FrankRuehl" w:hAnsi="FrankRuehl" w:cs="FrankRuehl"/>
          <w:sz w:val="28"/>
          <w:szCs w:val="28"/>
          <w:rtl/>
        </w:rPr>
        <w:t>עורך הדין המיוחד ל</w:t>
      </w:r>
      <w:r w:rsidR="003259D8" w:rsidRPr="001A0B66">
        <w:rPr>
          <w:rFonts w:ascii="FrankRuehl" w:hAnsi="FrankRuehl" w:cs="FrankRuehl"/>
          <w:sz w:val="28"/>
          <w:szCs w:val="28"/>
          <w:rtl/>
        </w:rPr>
        <w:t>עיין ב</w:t>
      </w:r>
      <w:r w:rsidR="008B7286" w:rsidRPr="001A0B66">
        <w:rPr>
          <w:rFonts w:ascii="FrankRuehl" w:hAnsi="FrankRuehl" w:cs="FrankRuehl"/>
          <w:sz w:val="28"/>
          <w:szCs w:val="28"/>
          <w:rtl/>
        </w:rPr>
        <w:t xml:space="preserve">חומר עד 24 שעות </w:t>
      </w:r>
      <w:r w:rsidR="003259D8" w:rsidRPr="001A0B66">
        <w:rPr>
          <w:rFonts w:ascii="FrankRuehl" w:hAnsi="FrankRuehl" w:cs="FrankRuehl"/>
          <w:sz w:val="28"/>
          <w:szCs w:val="28"/>
          <w:rtl/>
        </w:rPr>
        <w:t>קודם ל</w:t>
      </w:r>
      <w:r w:rsidR="008B7286" w:rsidRPr="001A0B66">
        <w:rPr>
          <w:rFonts w:ascii="FrankRuehl" w:hAnsi="FrankRuehl" w:cs="FrankRuehl"/>
          <w:sz w:val="28"/>
          <w:szCs w:val="28"/>
          <w:rtl/>
        </w:rPr>
        <w:t>דיון המשפטי, ו</w:t>
      </w:r>
      <w:r w:rsidR="003259D8" w:rsidRPr="001A0B66">
        <w:rPr>
          <w:rFonts w:ascii="FrankRuehl" w:hAnsi="FrankRuehl" w:cs="FrankRuehl"/>
          <w:sz w:val="28"/>
          <w:szCs w:val="28"/>
          <w:rtl/>
        </w:rPr>
        <w:t xml:space="preserve">מתוך </w:t>
      </w:r>
      <w:r w:rsidR="008B7286" w:rsidRPr="001A0B66">
        <w:rPr>
          <w:rFonts w:ascii="FrankRuehl" w:hAnsi="FrankRuehl" w:cs="FrankRuehl"/>
          <w:sz w:val="28"/>
          <w:szCs w:val="28"/>
          <w:rtl/>
        </w:rPr>
        <w:t xml:space="preserve">הנחה שבעל הדין צריך להגיע </w:t>
      </w:r>
      <w:r w:rsidR="00335E6E" w:rsidRPr="001A0B66">
        <w:rPr>
          <w:rFonts w:ascii="FrankRuehl" w:hAnsi="FrankRuehl" w:cs="FrankRuehl"/>
          <w:sz w:val="28"/>
          <w:szCs w:val="28"/>
          <w:rtl/>
        </w:rPr>
        <w:t>לדיון בבית המשפט</w:t>
      </w:r>
      <w:r w:rsidR="003259D8" w:rsidRPr="001A0B66">
        <w:rPr>
          <w:rFonts w:ascii="FrankRuehl" w:hAnsi="FrankRuehl" w:cs="FrankRuehl"/>
          <w:sz w:val="28"/>
          <w:szCs w:val="28"/>
          <w:rtl/>
        </w:rPr>
        <w:t xml:space="preserve"> בתוך 48 שעות</w:t>
      </w:r>
      <w:r w:rsidR="00335E6E" w:rsidRPr="001A0B66">
        <w:rPr>
          <w:rFonts w:ascii="FrankRuehl" w:hAnsi="FrankRuehl" w:cs="FrankRuehl"/>
          <w:sz w:val="28"/>
          <w:szCs w:val="28"/>
          <w:rtl/>
        </w:rPr>
        <w:t xml:space="preserve"> (למשל </w:t>
      </w:r>
      <w:r w:rsidR="008B7286" w:rsidRPr="001A0B66">
        <w:rPr>
          <w:rFonts w:ascii="FrankRuehl" w:hAnsi="FrankRuehl" w:cs="FrankRuehl"/>
          <w:sz w:val="28"/>
          <w:szCs w:val="28"/>
          <w:rtl/>
        </w:rPr>
        <w:t>להליך אישור צו המעצר המנהלי נגדו בפני שופט</w:t>
      </w:r>
      <w:r w:rsidR="009515D7" w:rsidRPr="001A0B66">
        <w:rPr>
          <w:rFonts w:ascii="FrankRuehl" w:hAnsi="FrankRuehl" w:cs="FrankRuehl"/>
          <w:sz w:val="28"/>
          <w:szCs w:val="28"/>
          <w:rtl/>
        </w:rPr>
        <w:t xml:space="preserve"> בית המשפט המחוזי</w:t>
      </w:r>
      <w:r w:rsidR="00335E6E" w:rsidRPr="001A0B66">
        <w:rPr>
          <w:rFonts w:ascii="FrankRuehl" w:hAnsi="FrankRuehl" w:cs="FrankRuehl"/>
          <w:sz w:val="28"/>
          <w:szCs w:val="28"/>
          <w:rtl/>
        </w:rPr>
        <w:t>)</w:t>
      </w:r>
      <w:r w:rsidR="008B7286" w:rsidRPr="001A0B66">
        <w:rPr>
          <w:rFonts w:ascii="FrankRuehl" w:hAnsi="FrankRuehl" w:cs="FrankRuehl"/>
          <w:sz w:val="28"/>
          <w:szCs w:val="28"/>
          <w:rtl/>
        </w:rPr>
        <w:t>, עולה החשש כי השניים לא יצליחו להיפגש ול</w:t>
      </w:r>
      <w:r w:rsidR="009515D7" w:rsidRPr="001A0B66">
        <w:rPr>
          <w:rFonts w:ascii="FrankRuehl" w:hAnsi="FrankRuehl" w:cs="FrankRuehl"/>
          <w:sz w:val="28"/>
          <w:szCs w:val="28"/>
          <w:rtl/>
        </w:rPr>
        <w:t>שוחח</w:t>
      </w:r>
      <w:r w:rsidR="008B7286" w:rsidRPr="001A0B66">
        <w:rPr>
          <w:rFonts w:ascii="FrankRuehl" w:hAnsi="FrankRuehl" w:cs="FrankRuehl"/>
          <w:sz w:val="28"/>
          <w:szCs w:val="28"/>
          <w:rtl/>
        </w:rPr>
        <w:t xml:space="preserve"> באופן </w:t>
      </w:r>
      <w:r w:rsidR="001842EA" w:rsidRPr="001A0B66">
        <w:rPr>
          <w:rFonts w:ascii="FrankRuehl" w:hAnsi="FrankRuehl" w:cs="FrankRuehl"/>
          <w:sz w:val="28"/>
          <w:szCs w:val="28"/>
          <w:rtl/>
        </w:rPr>
        <w:t>יעיל</w:t>
      </w:r>
      <w:r w:rsidR="008B7286" w:rsidRPr="001A0B66">
        <w:rPr>
          <w:rFonts w:ascii="FrankRuehl" w:hAnsi="FrankRuehl" w:cs="FrankRuehl"/>
          <w:sz w:val="28"/>
          <w:szCs w:val="28"/>
          <w:rtl/>
        </w:rPr>
        <w:t xml:space="preserve"> לפני הדיון, שכן פרק הזמן שנותר לפגישתם הוא </w:t>
      </w:r>
      <w:r w:rsidR="003259D8" w:rsidRPr="001A0B66">
        <w:rPr>
          <w:rFonts w:ascii="FrankRuehl" w:hAnsi="FrankRuehl" w:cs="FrankRuehl"/>
          <w:sz w:val="28"/>
          <w:szCs w:val="28"/>
          <w:rtl/>
        </w:rPr>
        <w:t>כ-</w:t>
      </w:r>
      <w:r w:rsidR="008B7286" w:rsidRPr="001A0B66">
        <w:rPr>
          <w:rFonts w:ascii="FrankRuehl" w:hAnsi="FrankRuehl" w:cs="FrankRuehl"/>
          <w:sz w:val="28"/>
          <w:szCs w:val="28"/>
          <w:rtl/>
        </w:rPr>
        <w:t xml:space="preserve">24 שעות. </w:t>
      </w:r>
      <w:r w:rsidR="003259D8" w:rsidRPr="001A0B66">
        <w:rPr>
          <w:rFonts w:ascii="FrankRuehl" w:hAnsi="FrankRuehl" w:cs="FrankRuehl"/>
          <w:sz w:val="28"/>
          <w:szCs w:val="28"/>
          <w:rtl/>
        </w:rPr>
        <w:t>מצב זה מעורר</w:t>
      </w:r>
      <w:r w:rsidRPr="001A0B66">
        <w:rPr>
          <w:rFonts w:ascii="FrankRuehl" w:hAnsi="FrankRuehl" w:cs="FrankRuehl"/>
          <w:sz w:val="28"/>
          <w:szCs w:val="28"/>
          <w:rtl/>
        </w:rPr>
        <w:t xml:space="preserve"> </w:t>
      </w:r>
      <w:r w:rsidR="00CA77C1" w:rsidRPr="001A0B66">
        <w:rPr>
          <w:rFonts w:ascii="FrankRuehl" w:hAnsi="FrankRuehl" w:cs="FrankRuehl"/>
          <w:sz w:val="28"/>
          <w:szCs w:val="28"/>
          <w:rtl/>
        </w:rPr>
        <w:t>צורך ב</w:t>
      </w:r>
      <w:r w:rsidR="00335E6E" w:rsidRPr="001A0B66">
        <w:rPr>
          <w:rFonts w:ascii="FrankRuehl" w:hAnsi="FrankRuehl" w:cs="FrankRuehl"/>
          <w:sz w:val="28"/>
          <w:szCs w:val="28"/>
          <w:rtl/>
        </w:rPr>
        <w:t>מערך סדור</w:t>
      </w:r>
      <w:r w:rsidR="00D53236" w:rsidRPr="001A0B66">
        <w:rPr>
          <w:rFonts w:ascii="FrankRuehl" w:hAnsi="FrankRuehl" w:cs="FrankRuehl"/>
          <w:sz w:val="28"/>
          <w:szCs w:val="28"/>
          <w:rtl/>
        </w:rPr>
        <w:t>, רב-משתתפים</w:t>
      </w:r>
      <w:r w:rsidR="00335E6E" w:rsidRPr="001A0B66">
        <w:rPr>
          <w:rFonts w:ascii="FrankRuehl" w:hAnsi="FrankRuehl" w:cs="FrankRuehl"/>
          <w:sz w:val="28"/>
          <w:szCs w:val="28"/>
          <w:rtl/>
        </w:rPr>
        <w:t xml:space="preserve"> ונגיש של עורכי דין מיוחדים</w:t>
      </w:r>
      <w:r w:rsidR="00BE79E4" w:rsidRPr="001A0B66">
        <w:rPr>
          <w:rFonts w:ascii="FrankRuehl" w:hAnsi="FrankRuehl" w:cs="FrankRuehl"/>
          <w:sz w:val="28"/>
          <w:szCs w:val="28"/>
          <w:rtl/>
        </w:rPr>
        <w:t>,</w:t>
      </w:r>
      <w:r w:rsidR="00335E6E" w:rsidRPr="001A0B66">
        <w:rPr>
          <w:rFonts w:ascii="FrankRuehl" w:hAnsi="FrankRuehl" w:cs="FrankRuehl"/>
          <w:sz w:val="28"/>
          <w:szCs w:val="28"/>
          <w:rtl/>
        </w:rPr>
        <w:t xml:space="preserve"> </w:t>
      </w:r>
      <w:r w:rsidR="003259D8" w:rsidRPr="001A0B66">
        <w:rPr>
          <w:rFonts w:ascii="FrankRuehl" w:hAnsi="FrankRuehl" w:cs="FrankRuehl"/>
          <w:sz w:val="28"/>
          <w:szCs w:val="28"/>
          <w:rtl/>
        </w:rPr>
        <w:t>ו</w:t>
      </w:r>
      <w:r w:rsidR="00BE79E4" w:rsidRPr="001A0B66">
        <w:rPr>
          <w:rFonts w:ascii="FrankRuehl" w:hAnsi="FrankRuehl" w:cs="FrankRuehl"/>
          <w:sz w:val="28"/>
          <w:szCs w:val="28"/>
          <w:rtl/>
        </w:rPr>
        <w:t xml:space="preserve">הוא גם </w:t>
      </w:r>
      <w:r w:rsidR="008B7286" w:rsidRPr="001A0B66">
        <w:rPr>
          <w:rFonts w:ascii="FrankRuehl" w:hAnsi="FrankRuehl" w:cs="FrankRuehl"/>
          <w:sz w:val="28"/>
          <w:szCs w:val="28"/>
          <w:rtl/>
        </w:rPr>
        <w:t xml:space="preserve">מחזק את החשיבות </w:t>
      </w:r>
      <w:r w:rsidR="00B553B9" w:rsidRPr="001A0B66">
        <w:rPr>
          <w:rFonts w:ascii="FrankRuehl" w:hAnsi="FrankRuehl" w:cs="FrankRuehl"/>
          <w:sz w:val="28"/>
          <w:szCs w:val="28"/>
          <w:rtl/>
        </w:rPr>
        <w:t>המיוחדת</w:t>
      </w:r>
      <w:r w:rsidR="008B7286" w:rsidRPr="001A0B66">
        <w:rPr>
          <w:rFonts w:ascii="FrankRuehl" w:hAnsi="FrankRuehl" w:cs="FrankRuehl"/>
          <w:sz w:val="28"/>
          <w:szCs w:val="28"/>
          <w:rtl/>
        </w:rPr>
        <w:t xml:space="preserve"> ש</w:t>
      </w:r>
      <w:r w:rsidR="00757DB3" w:rsidRPr="001A0B66">
        <w:rPr>
          <w:rFonts w:ascii="FrankRuehl" w:hAnsi="FrankRuehl" w:cs="FrankRuehl"/>
          <w:sz w:val="28"/>
          <w:szCs w:val="28"/>
          <w:rtl/>
        </w:rPr>
        <w:t xml:space="preserve">יש לייחס </w:t>
      </w:r>
      <w:r w:rsidR="002F32C4" w:rsidRPr="001A0B66">
        <w:rPr>
          <w:rFonts w:ascii="FrankRuehl" w:hAnsi="FrankRuehl" w:cs="FrankRuehl"/>
          <w:sz w:val="28"/>
          <w:szCs w:val="28"/>
          <w:rtl/>
        </w:rPr>
        <w:t xml:space="preserve">לתמצית </w:t>
      </w:r>
      <w:r w:rsidR="008B7286" w:rsidRPr="001A0B66">
        <w:rPr>
          <w:rFonts w:ascii="FrankRuehl" w:hAnsi="FrankRuehl" w:cs="FrankRuehl"/>
          <w:sz w:val="28"/>
          <w:szCs w:val="28"/>
          <w:rtl/>
        </w:rPr>
        <w:t>מקיפה של הטענות</w:t>
      </w:r>
      <w:r w:rsidR="0020462D" w:rsidRPr="001A0B66">
        <w:rPr>
          <w:rFonts w:ascii="FrankRuehl" w:hAnsi="FrankRuehl" w:cs="FrankRuehl"/>
          <w:sz w:val="28"/>
          <w:szCs w:val="28"/>
          <w:rtl/>
        </w:rPr>
        <w:t xml:space="preserve"> כנגד האדם, כדי שעורך הדין המיוחד </w:t>
      </w:r>
      <w:r w:rsidR="002D3648" w:rsidRPr="001A0B66">
        <w:rPr>
          <w:rFonts w:ascii="FrankRuehl" w:hAnsi="FrankRuehl" w:cs="FrankRuehl"/>
          <w:sz w:val="28"/>
          <w:szCs w:val="28"/>
          <w:rtl/>
        </w:rPr>
        <w:t>י</w:t>
      </w:r>
      <w:r w:rsidR="001842EA" w:rsidRPr="001A0B66">
        <w:rPr>
          <w:rFonts w:ascii="FrankRuehl" w:hAnsi="FrankRuehl" w:cs="FrankRuehl"/>
          <w:sz w:val="28"/>
          <w:szCs w:val="28"/>
          <w:rtl/>
        </w:rPr>
        <w:t>וכל</w:t>
      </w:r>
      <w:r w:rsidR="00CA77C1" w:rsidRPr="001A0B66">
        <w:rPr>
          <w:rFonts w:ascii="FrankRuehl" w:hAnsi="FrankRuehl" w:cs="FrankRuehl"/>
          <w:sz w:val="28"/>
          <w:szCs w:val="28"/>
          <w:rtl/>
        </w:rPr>
        <w:t xml:space="preserve"> למלא את תפקידו</w:t>
      </w:r>
      <w:r w:rsidR="003259D8" w:rsidRPr="001A0B66">
        <w:rPr>
          <w:rFonts w:ascii="FrankRuehl" w:hAnsi="FrankRuehl" w:cs="FrankRuehl"/>
          <w:sz w:val="28"/>
          <w:szCs w:val="28"/>
          <w:rtl/>
        </w:rPr>
        <w:t xml:space="preserve"> על אף לחץ הזמן</w:t>
      </w:r>
      <w:r w:rsidR="0020462D" w:rsidRPr="001A0B66">
        <w:rPr>
          <w:rFonts w:ascii="FrankRuehl" w:hAnsi="FrankRuehl" w:cs="FrankRuehl"/>
          <w:sz w:val="28"/>
          <w:szCs w:val="28"/>
          <w:rtl/>
        </w:rPr>
        <w:t>.</w:t>
      </w:r>
    </w:p>
    <w:p w14:paraId="4E21E37A" w14:textId="77777777" w:rsidR="00F87C5D" w:rsidRPr="001A0B66" w:rsidRDefault="00F87C5D" w:rsidP="00971128">
      <w:pPr>
        <w:pStyle w:val="a1"/>
        <w:spacing w:line="276" w:lineRule="auto"/>
        <w:rPr>
          <w:rFonts w:ascii="FrankRuehl" w:hAnsi="FrankRuehl" w:cs="FrankRuehl"/>
          <w:sz w:val="28"/>
          <w:szCs w:val="28"/>
          <w:rtl/>
        </w:rPr>
      </w:pPr>
      <w:r>
        <w:rPr>
          <w:rFonts w:ascii="FrankRuehl" w:hAnsi="FrankRuehl" w:cs="FrankRuehl"/>
          <w:sz w:val="28"/>
          <w:szCs w:val="28"/>
          <w:rtl/>
        </w:rPr>
        <w:tab/>
      </w:r>
      <w:r w:rsidRPr="00E41EF2">
        <w:rPr>
          <w:rFonts w:ascii="FrankRuehl" w:hAnsi="FrankRuehl" w:cs="FrankRuehl"/>
          <w:sz w:val="28"/>
          <w:szCs w:val="28"/>
          <w:rtl/>
        </w:rPr>
        <w:t xml:space="preserve">הנקודות אותן השמענו זה עתה </w:t>
      </w:r>
      <w:r w:rsidR="005D30FA" w:rsidRPr="00E41EF2">
        <w:rPr>
          <w:rFonts w:ascii="FrankRuehl" w:hAnsi="FrankRuehl" w:cs="FrankRuehl"/>
          <w:sz w:val="28"/>
          <w:szCs w:val="28"/>
          <w:rtl/>
        </w:rPr>
        <w:t xml:space="preserve">ביחס לחשיבות הפרפרזה והיקפה הראוי </w:t>
      </w:r>
      <w:r w:rsidRPr="00E41EF2">
        <w:rPr>
          <w:rFonts w:ascii="FrankRuehl" w:hAnsi="FrankRuehl" w:cs="FrankRuehl"/>
          <w:sz w:val="28"/>
          <w:szCs w:val="28"/>
          <w:rtl/>
        </w:rPr>
        <w:t xml:space="preserve">מאזנות חשש </w:t>
      </w:r>
      <w:r w:rsidR="005D30FA" w:rsidRPr="00E41EF2">
        <w:rPr>
          <w:rFonts w:ascii="FrankRuehl" w:hAnsi="FrankRuehl" w:cs="FrankRuehl"/>
          <w:sz w:val="28"/>
          <w:szCs w:val="28"/>
          <w:rtl/>
        </w:rPr>
        <w:t xml:space="preserve">אפשרי, במישור </w:t>
      </w:r>
      <w:r w:rsidR="00E41EF2" w:rsidRPr="00E41EF2">
        <w:rPr>
          <w:rFonts w:ascii="FrankRuehl" w:hAnsi="FrankRuehl" w:cs="FrankRuehl"/>
          <w:sz w:val="28"/>
          <w:szCs w:val="28"/>
          <w:rtl/>
        </w:rPr>
        <w:t>הצפי ל</w:t>
      </w:r>
      <w:r w:rsidR="005D30FA" w:rsidRPr="00E41EF2">
        <w:rPr>
          <w:rFonts w:ascii="FrankRuehl" w:hAnsi="FrankRuehl" w:cs="FrankRuehl"/>
          <w:sz w:val="28"/>
          <w:szCs w:val="28"/>
          <w:rtl/>
        </w:rPr>
        <w:t>התנהלות הדברים</w:t>
      </w:r>
      <w:r w:rsidR="00E41EF2" w:rsidRPr="00E41EF2">
        <w:rPr>
          <w:rFonts w:ascii="FrankRuehl" w:hAnsi="FrankRuehl" w:cs="FrankRuehl"/>
          <w:sz w:val="28"/>
          <w:szCs w:val="28"/>
          <w:rtl/>
        </w:rPr>
        <w:t xml:space="preserve"> בעקבות שינוי נתיב הבקרה</w:t>
      </w:r>
      <w:r w:rsidR="005D30FA" w:rsidRPr="00E41EF2">
        <w:rPr>
          <w:rFonts w:ascii="FrankRuehl" w:hAnsi="FrankRuehl" w:cs="FrankRuehl"/>
          <w:sz w:val="28"/>
          <w:szCs w:val="28"/>
          <w:rtl/>
        </w:rPr>
        <w:t xml:space="preserve">, </w:t>
      </w:r>
      <w:r w:rsidRPr="00E41EF2">
        <w:rPr>
          <w:rFonts w:ascii="FrankRuehl" w:hAnsi="FrankRuehl" w:cs="FrankRuehl"/>
          <w:sz w:val="28"/>
          <w:szCs w:val="28"/>
          <w:rtl/>
        </w:rPr>
        <w:t xml:space="preserve">לפיו מוסד "עורכי הדין המיוחדים" יביא דווקא לצמצום בפועל של </w:t>
      </w:r>
      <w:r w:rsidR="00A72FC1" w:rsidRPr="00E41EF2">
        <w:rPr>
          <w:rFonts w:ascii="FrankRuehl" w:hAnsi="FrankRuehl" w:cs="FrankRuehl"/>
          <w:sz w:val="28"/>
          <w:szCs w:val="28"/>
          <w:rtl/>
        </w:rPr>
        <w:t>המידע או הטענות הנחשפות מראש בעת הפעלת סמכות חירום הנשענת על ראיות חסויות</w:t>
      </w:r>
      <w:r w:rsidR="00971128">
        <w:rPr>
          <w:rFonts w:ascii="FrankRuehl" w:hAnsi="FrankRuehl" w:cs="FrankRuehl"/>
          <w:sz w:val="28"/>
          <w:szCs w:val="28"/>
          <w:rtl/>
        </w:rPr>
        <w:t xml:space="preserve"> (</w:t>
      </w:r>
      <w:r w:rsidRPr="00E41EF2">
        <w:rPr>
          <w:rFonts w:ascii="FrankRuehl" w:hAnsi="FrankRuehl" w:cs="FrankRuehl"/>
          <w:sz w:val="28"/>
          <w:szCs w:val="28"/>
          <w:rtl/>
        </w:rPr>
        <w:t xml:space="preserve">זאת </w:t>
      </w:r>
      <w:r w:rsidR="00A72FC1" w:rsidRPr="00E41EF2">
        <w:rPr>
          <w:rFonts w:ascii="FrankRuehl" w:hAnsi="FrankRuehl" w:cs="FrankRuehl"/>
          <w:sz w:val="28"/>
          <w:szCs w:val="28"/>
          <w:rtl/>
        </w:rPr>
        <w:t xml:space="preserve">משום שעתה יפעל גורם חלופי </w:t>
      </w:r>
      <w:r w:rsidRPr="00E41EF2">
        <w:rPr>
          <w:rFonts w:ascii="FrankRuehl" w:hAnsi="FrankRuehl" w:cs="FrankRuehl"/>
          <w:sz w:val="28"/>
          <w:szCs w:val="28"/>
          <w:rtl/>
        </w:rPr>
        <w:t>האמון על הטיפול בטענותיו ובהגנתו של האדם</w:t>
      </w:r>
      <w:r w:rsidR="00A72FC1" w:rsidRPr="00E41EF2">
        <w:rPr>
          <w:rFonts w:ascii="FrankRuehl" w:hAnsi="FrankRuehl" w:cs="FrankRuehl"/>
          <w:sz w:val="28"/>
          <w:szCs w:val="28"/>
          <w:rtl/>
        </w:rPr>
        <w:t xml:space="preserve"> והוא מוסמך ממלא לעיין בחומר החסוי</w:t>
      </w:r>
      <w:r w:rsidR="00971128">
        <w:rPr>
          <w:rFonts w:ascii="FrankRuehl" w:hAnsi="FrankRuehl" w:cs="FrankRuehl"/>
          <w:sz w:val="28"/>
          <w:szCs w:val="28"/>
          <w:rtl/>
        </w:rPr>
        <w:t>)</w:t>
      </w:r>
      <w:r w:rsidRPr="00E41EF2">
        <w:rPr>
          <w:rFonts w:ascii="FrankRuehl" w:hAnsi="FrankRuehl" w:cs="FrankRuehl"/>
          <w:sz w:val="28"/>
          <w:szCs w:val="28"/>
          <w:rtl/>
        </w:rPr>
        <w:t>.</w:t>
      </w:r>
      <w:r w:rsidR="00F157A2" w:rsidRPr="001A0B66">
        <w:rPr>
          <w:rStyle w:val="FootnoteReference"/>
          <w:rFonts w:ascii="FrankRuehl" w:hAnsi="FrankRuehl" w:cs="FrankRuehl"/>
          <w:sz w:val="28"/>
          <w:szCs w:val="28"/>
          <w:rtl/>
        </w:rPr>
        <w:footnoteReference w:id="83"/>
      </w:r>
      <w:r w:rsidRPr="00E41EF2">
        <w:rPr>
          <w:rFonts w:ascii="FrankRuehl" w:hAnsi="FrankRuehl" w:cs="FrankRuehl"/>
          <w:sz w:val="28"/>
          <w:szCs w:val="28"/>
          <w:rtl/>
        </w:rPr>
        <w:t xml:space="preserve"> </w:t>
      </w:r>
      <w:r w:rsidR="00A72FC1" w:rsidRPr="00E41EF2">
        <w:rPr>
          <w:rFonts w:ascii="FrankRuehl" w:hAnsi="FrankRuehl" w:cs="FrankRuehl"/>
          <w:sz w:val="28"/>
          <w:szCs w:val="28"/>
          <w:rtl/>
        </w:rPr>
        <w:t>התשובה לכך, היא ש</w:t>
      </w:r>
      <w:r w:rsidRPr="00E41EF2">
        <w:rPr>
          <w:rFonts w:ascii="FrankRuehl" w:hAnsi="FrankRuehl" w:cs="FrankRuehl"/>
          <w:sz w:val="28"/>
          <w:szCs w:val="28"/>
          <w:rtl/>
        </w:rPr>
        <w:t xml:space="preserve">הנקודות </w:t>
      </w:r>
      <w:r w:rsidR="00A72FC1" w:rsidRPr="00E41EF2">
        <w:rPr>
          <w:rFonts w:ascii="FrankRuehl" w:hAnsi="FrankRuehl" w:cs="FrankRuehl"/>
          <w:sz w:val="28"/>
          <w:szCs w:val="28"/>
          <w:rtl/>
        </w:rPr>
        <w:t>שלעיל</w:t>
      </w:r>
      <w:r w:rsidRPr="00E41EF2">
        <w:rPr>
          <w:rFonts w:ascii="FrankRuehl" w:hAnsi="FrankRuehl" w:cs="FrankRuehl"/>
          <w:sz w:val="28"/>
          <w:szCs w:val="28"/>
          <w:rtl/>
        </w:rPr>
        <w:t xml:space="preserve"> תומכות</w:t>
      </w:r>
      <w:r w:rsidR="00971128">
        <w:rPr>
          <w:rFonts w:ascii="FrankRuehl" w:hAnsi="FrankRuehl" w:cs="FrankRuehl"/>
          <w:sz w:val="28"/>
          <w:szCs w:val="28"/>
          <w:rtl/>
        </w:rPr>
        <w:t>, תמיד,</w:t>
      </w:r>
      <w:r w:rsidRPr="00E41EF2">
        <w:rPr>
          <w:rFonts w:ascii="FrankRuehl" w:hAnsi="FrankRuehl" w:cs="FrankRuehl"/>
          <w:sz w:val="28"/>
          <w:szCs w:val="28"/>
          <w:rtl/>
        </w:rPr>
        <w:t xml:space="preserve"> בחשיפת פרפרזה מקסימלית</w:t>
      </w:r>
      <w:r w:rsidR="00A72FC1" w:rsidRPr="00E41EF2">
        <w:rPr>
          <w:rFonts w:ascii="FrankRuehl" w:hAnsi="FrankRuehl" w:cs="FrankRuehl"/>
          <w:sz w:val="28"/>
          <w:szCs w:val="28"/>
          <w:rtl/>
        </w:rPr>
        <w:t xml:space="preserve"> בצמוד לצו ה</w:t>
      </w:r>
      <w:r w:rsidR="009338C5" w:rsidRPr="00E41EF2">
        <w:rPr>
          <w:rFonts w:ascii="FrankRuehl" w:hAnsi="FrankRuehl" w:cs="FrankRuehl"/>
          <w:sz w:val="28"/>
          <w:szCs w:val="28"/>
          <w:rtl/>
        </w:rPr>
        <w:t>ניתן</w:t>
      </w:r>
      <w:r w:rsidR="00A72FC1" w:rsidRPr="00E41EF2">
        <w:rPr>
          <w:rFonts w:ascii="FrankRuehl" w:hAnsi="FrankRuehl" w:cs="FrankRuehl"/>
          <w:sz w:val="28"/>
          <w:szCs w:val="28"/>
          <w:rtl/>
        </w:rPr>
        <w:t xml:space="preserve"> כנגד האדם; ו</w:t>
      </w:r>
      <w:r w:rsidRPr="00E41EF2">
        <w:rPr>
          <w:rFonts w:ascii="FrankRuehl" w:hAnsi="FrankRuehl" w:cs="FrankRuehl"/>
          <w:sz w:val="28"/>
          <w:szCs w:val="28"/>
          <w:rtl/>
        </w:rPr>
        <w:t>עורכת הדין המיוחדת</w:t>
      </w:r>
      <w:r w:rsidR="00A72FC1" w:rsidRPr="00E41EF2">
        <w:rPr>
          <w:rFonts w:ascii="FrankRuehl" w:hAnsi="FrankRuehl" w:cs="FrankRuehl"/>
          <w:sz w:val="28"/>
          <w:szCs w:val="28"/>
          <w:rtl/>
        </w:rPr>
        <w:t>,</w:t>
      </w:r>
      <w:r w:rsidRPr="00E41EF2">
        <w:rPr>
          <w:rFonts w:ascii="FrankRuehl" w:hAnsi="FrankRuehl" w:cs="FrankRuehl"/>
          <w:sz w:val="28"/>
          <w:szCs w:val="28"/>
          <w:rtl/>
        </w:rPr>
        <w:t xml:space="preserve"> שפרפרזה </w:t>
      </w:r>
      <w:r w:rsidR="00E41EF2" w:rsidRPr="00E41EF2">
        <w:rPr>
          <w:rFonts w:ascii="FrankRuehl" w:hAnsi="FrankRuehl" w:cs="FrankRuehl"/>
          <w:sz w:val="28"/>
          <w:szCs w:val="28"/>
          <w:rtl/>
        </w:rPr>
        <w:t xml:space="preserve">שכזו </w:t>
      </w:r>
      <w:r w:rsidRPr="00E41EF2">
        <w:rPr>
          <w:rFonts w:ascii="FrankRuehl" w:hAnsi="FrankRuehl" w:cs="FrankRuehl"/>
          <w:sz w:val="28"/>
          <w:szCs w:val="28"/>
          <w:rtl/>
        </w:rPr>
        <w:t>כה חיונית לאפקטיביות פעולתה</w:t>
      </w:r>
      <w:r w:rsidR="00A72FC1" w:rsidRPr="00E41EF2">
        <w:rPr>
          <w:rFonts w:ascii="FrankRuehl" w:hAnsi="FrankRuehl" w:cs="FrankRuehl"/>
          <w:sz w:val="28"/>
          <w:szCs w:val="28"/>
          <w:rtl/>
        </w:rPr>
        <w:t>, תתעקש על כך גם בתיק המסוים וגם עבור תיקיה העתידיים.</w:t>
      </w:r>
      <w:r w:rsidR="00971128" w:rsidRPr="001A0B66">
        <w:rPr>
          <w:rStyle w:val="FootnoteReference"/>
          <w:rFonts w:ascii="FrankRuehl" w:hAnsi="FrankRuehl" w:cs="FrankRuehl"/>
          <w:sz w:val="28"/>
          <w:szCs w:val="28"/>
          <w:rtl/>
        </w:rPr>
        <w:footnoteReference w:id="84"/>
      </w:r>
      <w:r w:rsidR="00971128" w:rsidRPr="001A0B66">
        <w:rPr>
          <w:rFonts w:ascii="FrankRuehl" w:hAnsi="FrankRuehl" w:cs="FrankRuehl"/>
          <w:sz w:val="28"/>
          <w:szCs w:val="28"/>
          <w:rtl/>
        </w:rPr>
        <w:t xml:space="preserve"> </w:t>
      </w:r>
      <w:r w:rsidR="00A72FC1">
        <w:rPr>
          <w:rFonts w:ascii="FrankRuehl" w:hAnsi="FrankRuehl" w:cs="FrankRuehl"/>
          <w:sz w:val="28"/>
          <w:szCs w:val="28"/>
          <w:rtl/>
        </w:rPr>
        <w:t xml:space="preserve"> </w:t>
      </w:r>
    </w:p>
    <w:p w14:paraId="05208D53" w14:textId="77777777" w:rsidR="00A81D6E" w:rsidRPr="001A0B66" w:rsidRDefault="00A81D6E" w:rsidP="00F307FB">
      <w:pPr>
        <w:pStyle w:val="Heading4"/>
        <w:spacing w:line="276" w:lineRule="auto"/>
        <w:rPr>
          <w:rFonts w:ascii="FrankRuehl" w:hAnsi="FrankRuehl" w:cs="FrankRuehl"/>
          <w:sz w:val="28"/>
          <w:szCs w:val="28"/>
          <w:rtl/>
        </w:rPr>
      </w:pPr>
      <w:bookmarkStart w:id="73" w:name="_Toc52984564"/>
      <w:bookmarkStart w:id="74" w:name="_Toc53124430"/>
      <w:bookmarkStart w:id="75" w:name="_Toc53143381"/>
      <w:r w:rsidRPr="001A0B66">
        <w:rPr>
          <w:rFonts w:ascii="FrankRuehl" w:hAnsi="FrankRuehl" w:cs="FrankRuehl"/>
          <w:sz w:val="28"/>
          <w:szCs w:val="28"/>
          <w:rtl/>
        </w:rPr>
        <w:t>חומרי הגלם המודיעיניים, נוכחות חוקרי השב"כ, חקירתם והאפשרות להב</w:t>
      </w:r>
      <w:r w:rsidR="003979B0" w:rsidRPr="001A0B66">
        <w:rPr>
          <w:rFonts w:ascii="FrankRuehl" w:hAnsi="FrankRuehl" w:cs="FrankRuehl"/>
          <w:sz w:val="28"/>
          <w:szCs w:val="28"/>
          <w:rtl/>
        </w:rPr>
        <w:t>י</w:t>
      </w:r>
      <w:r w:rsidRPr="001A0B66">
        <w:rPr>
          <w:rFonts w:ascii="FrankRuehl" w:hAnsi="FrankRuehl" w:cs="FrankRuehl"/>
          <w:sz w:val="28"/>
          <w:szCs w:val="28"/>
          <w:rtl/>
        </w:rPr>
        <w:t>א עדים ולהסתייע במתורגמנים</w:t>
      </w:r>
      <w:bookmarkEnd w:id="73"/>
      <w:bookmarkEnd w:id="74"/>
      <w:bookmarkEnd w:id="75"/>
    </w:p>
    <w:p w14:paraId="4CDA6000" w14:textId="77777777" w:rsidR="00956947" w:rsidRPr="001A0B66" w:rsidRDefault="00782C03"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ב</w:t>
      </w:r>
      <w:r w:rsidR="00A81D6E" w:rsidRPr="001A0B66">
        <w:rPr>
          <w:rFonts w:ascii="FrankRuehl" w:hAnsi="FrankRuehl" w:cs="FrankRuehl"/>
          <w:sz w:val="28"/>
          <w:szCs w:val="28"/>
          <w:rtl/>
        </w:rPr>
        <w:t xml:space="preserve">צד פרפרזה מקיפה </w:t>
      </w:r>
      <w:r w:rsidR="00C2059D" w:rsidRPr="001A0B66">
        <w:rPr>
          <w:rFonts w:ascii="FrankRuehl" w:hAnsi="FrankRuehl" w:cs="FrankRuehl"/>
          <w:sz w:val="28"/>
          <w:szCs w:val="28"/>
          <w:rtl/>
        </w:rPr>
        <w:t xml:space="preserve">יש לפחות </w:t>
      </w:r>
      <w:r w:rsidR="00463C7E" w:rsidRPr="001A0B66">
        <w:rPr>
          <w:rFonts w:ascii="FrankRuehl" w:hAnsi="FrankRuehl" w:cs="FrankRuehl"/>
          <w:sz w:val="28"/>
          <w:szCs w:val="28"/>
          <w:rtl/>
        </w:rPr>
        <w:t>שלוש</w:t>
      </w:r>
      <w:r w:rsidR="00BD14D6" w:rsidRPr="001A0B66">
        <w:rPr>
          <w:rFonts w:ascii="FrankRuehl" w:hAnsi="FrankRuehl" w:cs="FrankRuehl"/>
          <w:sz w:val="28"/>
          <w:szCs w:val="28"/>
          <w:rtl/>
        </w:rPr>
        <w:t xml:space="preserve">ה צרכים </w:t>
      </w:r>
      <w:r w:rsidR="003259D8" w:rsidRPr="001A0B66">
        <w:rPr>
          <w:rFonts w:ascii="FrankRuehl" w:hAnsi="FrankRuehl" w:cs="FrankRuehl"/>
          <w:sz w:val="28"/>
          <w:szCs w:val="28"/>
          <w:rtl/>
        </w:rPr>
        <w:t xml:space="preserve">חיוניים להסדר אפקטיבי של עורך דין מיוחד </w:t>
      </w:r>
      <w:r w:rsidR="000F28FF" w:rsidRPr="001A0B66">
        <w:rPr>
          <w:rFonts w:ascii="FrankRuehl" w:hAnsi="FrankRuehl" w:cs="FrankRuehl"/>
          <w:sz w:val="28"/>
          <w:szCs w:val="28"/>
          <w:rtl/>
        </w:rPr>
        <w:t>ו</w:t>
      </w:r>
      <w:r w:rsidR="003259D8" w:rsidRPr="001A0B66">
        <w:rPr>
          <w:rFonts w:ascii="FrankRuehl" w:hAnsi="FrankRuehl" w:cs="FrankRuehl"/>
          <w:sz w:val="28"/>
          <w:szCs w:val="28"/>
          <w:rtl/>
        </w:rPr>
        <w:t xml:space="preserve">אשר </w:t>
      </w:r>
      <w:r w:rsidR="002F32C4" w:rsidRPr="001A0B66">
        <w:rPr>
          <w:rFonts w:ascii="FrankRuehl" w:hAnsi="FrankRuehl" w:cs="FrankRuehl"/>
          <w:sz w:val="28"/>
          <w:szCs w:val="28"/>
          <w:rtl/>
        </w:rPr>
        <w:t>אינם מוזכרים</w:t>
      </w:r>
      <w:r w:rsidR="005C105C" w:rsidRPr="001A0B66">
        <w:rPr>
          <w:rFonts w:ascii="FrankRuehl" w:hAnsi="FrankRuehl" w:cs="FrankRuehl"/>
          <w:sz w:val="28"/>
          <w:szCs w:val="28"/>
          <w:rtl/>
        </w:rPr>
        <w:t xml:space="preserve"> </w:t>
      </w:r>
      <w:r w:rsidR="003259D8" w:rsidRPr="001A0B66">
        <w:rPr>
          <w:rFonts w:ascii="FrankRuehl" w:hAnsi="FrankRuehl" w:cs="FrankRuehl"/>
          <w:sz w:val="28"/>
          <w:szCs w:val="28"/>
          <w:rtl/>
        </w:rPr>
        <w:t xml:space="preserve">בהצעת החוק </w:t>
      </w:r>
      <w:r w:rsidR="005C105C" w:rsidRPr="001A0B66">
        <w:rPr>
          <w:rFonts w:ascii="FrankRuehl" w:hAnsi="FrankRuehl" w:cs="FrankRuehl"/>
          <w:sz w:val="28"/>
          <w:szCs w:val="28"/>
          <w:rtl/>
        </w:rPr>
        <w:t xml:space="preserve">או </w:t>
      </w:r>
      <w:r w:rsidR="003259D8" w:rsidRPr="001A0B66">
        <w:rPr>
          <w:rFonts w:ascii="FrankRuehl" w:hAnsi="FrankRuehl" w:cs="FrankRuehl"/>
          <w:sz w:val="28"/>
          <w:szCs w:val="28"/>
          <w:rtl/>
        </w:rPr>
        <w:t>שה</w:t>
      </w:r>
      <w:r w:rsidR="00430A9F" w:rsidRPr="001A0B66">
        <w:rPr>
          <w:rFonts w:ascii="FrankRuehl" w:hAnsi="FrankRuehl" w:cs="FrankRuehl"/>
          <w:sz w:val="28"/>
          <w:szCs w:val="28"/>
          <w:rtl/>
        </w:rPr>
        <w:t>עיסוק</w:t>
      </w:r>
      <w:r w:rsidR="003259D8" w:rsidRPr="001A0B66">
        <w:rPr>
          <w:rFonts w:ascii="FrankRuehl" w:hAnsi="FrankRuehl" w:cs="FrankRuehl"/>
          <w:sz w:val="28"/>
          <w:szCs w:val="28"/>
          <w:rtl/>
        </w:rPr>
        <w:t xml:space="preserve"> בהם אינו</w:t>
      </w:r>
      <w:r w:rsidR="00430A9F" w:rsidRPr="001A0B66">
        <w:rPr>
          <w:rFonts w:ascii="FrankRuehl" w:hAnsi="FrankRuehl" w:cs="FrankRuehl"/>
          <w:sz w:val="28"/>
          <w:szCs w:val="28"/>
          <w:rtl/>
        </w:rPr>
        <w:t xml:space="preserve"> מפורט</w:t>
      </w:r>
      <w:r w:rsidR="004E23B7" w:rsidRPr="001A0B66">
        <w:rPr>
          <w:rFonts w:ascii="FrankRuehl" w:hAnsi="FrankRuehl" w:cs="FrankRuehl"/>
          <w:sz w:val="28"/>
          <w:szCs w:val="28"/>
          <w:rtl/>
        </w:rPr>
        <w:t xml:space="preserve"> די</w:t>
      </w:r>
      <w:r w:rsidR="003259D8" w:rsidRPr="001A0B66">
        <w:rPr>
          <w:rFonts w:ascii="FrankRuehl" w:hAnsi="FrankRuehl" w:cs="FrankRuehl"/>
          <w:sz w:val="28"/>
          <w:szCs w:val="28"/>
          <w:rtl/>
        </w:rPr>
        <w:t>ו</w:t>
      </w:r>
      <w:r w:rsidR="00124501" w:rsidRPr="001A0B66">
        <w:rPr>
          <w:rFonts w:ascii="FrankRuehl" w:hAnsi="FrankRuehl" w:cs="FrankRuehl"/>
          <w:sz w:val="28"/>
          <w:szCs w:val="28"/>
          <w:rtl/>
        </w:rPr>
        <w:t xml:space="preserve">, והם </w:t>
      </w:r>
      <w:r w:rsidR="003259D8" w:rsidRPr="001A0B66">
        <w:rPr>
          <w:rFonts w:ascii="FrankRuehl" w:hAnsi="FrankRuehl" w:cs="FrankRuehl"/>
          <w:sz w:val="28"/>
          <w:szCs w:val="28"/>
          <w:rtl/>
        </w:rPr>
        <w:t>הצורך</w:t>
      </w:r>
      <w:r w:rsidR="00430A9F" w:rsidRPr="001A0B66">
        <w:rPr>
          <w:rFonts w:ascii="FrankRuehl" w:hAnsi="FrankRuehl" w:cs="FrankRuehl"/>
          <w:sz w:val="28"/>
          <w:szCs w:val="28"/>
          <w:rtl/>
        </w:rPr>
        <w:t xml:space="preserve"> </w:t>
      </w:r>
      <w:r w:rsidRPr="001A0B66">
        <w:rPr>
          <w:rFonts w:ascii="FrankRuehl" w:hAnsi="FrankRuehl" w:cs="FrankRuehl"/>
          <w:sz w:val="28"/>
          <w:szCs w:val="28"/>
          <w:rtl/>
        </w:rPr>
        <w:t xml:space="preserve">לעיין במלוא </w:t>
      </w:r>
      <w:r w:rsidR="00A81D6E" w:rsidRPr="001A0B66">
        <w:rPr>
          <w:rFonts w:ascii="FrankRuehl" w:hAnsi="FrankRuehl" w:cs="FrankRuehl"/>
          <w:sz w:val="28"/>
          <w:szCs w:val="28"/>
          <w:rtl/>
        </w:rPr>
        <w:t>חומר הגלם המודיעיני הרל</w:t>
      </w:r>
      <w:r w:rsidR="00A14D00" w:rsidRPr="001A0B66">
        <w:rPr>
          <w:rFonts w:ascii="FrankRuehl" w:hAnsi="FrankRuehl" w:cs="FrankRuehl"/>
          <w:sz w:val="28"/>
          <w:szCs w:val="28"/>
          <w:rtl/>
        </w:rPr>
        <w:t>וו</w:t>
      </w:r>
      <w:r w:rsidR="00A81D6E" w:rsidRPr="001A0B66">
        <w:rPr>
          <w:rFonts w:ascii="FrankRuehl" w:hAnsi="FrankRuehl" w:cs="FrankRuehl"/>
          <w:sz w:val="28"/>
          <w:szCs w:val="28"/>
          <w:rtl/>
        </w:rPr>
        <w:t>נטי</w:t>
      </w:r>
      <w:r w:rsidR="00876A71" w:rsidRPr="001A0B66">
        <w:rPr>
          <w:rFonts w:ascii="FrankRuehl" w:hAnsi="FrankRuehl" w:cs="FrankRuehl"/>
          <w:sz w:val="28"/>
          <w:szCs w:val="28"/>
          <w:rtl/>
        </w:rPr>
        <w:t>,</w:t>
      </w:r>
      <w:r w:rsidR="00B36AE6" w:rsidRPr="001A0B66">
        <w:rPr>
          <w:rFonts w:ascii="FrankRuehl" w:hAnsi="FrankRuehl" w:cs="FrankRuehl"/>
          <w:sz w:val="28"/>
          <w:szCs w:val="28"/>
          <w:rtl/>
        </w:rPr>
        <w:t xml:space="preserve"> </w:t>
      </w:r>
      <w:r w:rsidR="003259D8" w:rsidRPr="001A0B66">
        <w:rPr>
          <w:rFonts w:ascii="FrankRuehl" w:hAnsi="FrankRuehl" w:cs="FrankRuehl"/>
          <w:sz w:val="28"/>
          <w:szCs w:val="28"/>
          <w:rtl/>
        </w:rPr>
        <w:t xml:space="preserve">הצורך </w:t>
      </w:r>
      <w:r w:rsidRPr="001A0B66">
        <w:rPr>
          <w:rFonts w:ascii="FrankRuehl" w:hAnsi="FrankRuehl" w:cs="FrankRuehl"/>
          <w:sz w:val="28"/>
          <w:szCs w:val="28"/>
          <w:rtl/>
        </w:rPr>
        <w:t>לה</w:t>
      </w:r>
      <w:r w:rsidR="00C2059D" w:rsidRPr="001A0B66">
        <w:rPr>
          <w:rFonts w:ascii="FrankRuehl" w:hAnsi="FrankRuehl" w:cs="FrankRuehl"/>
          <w:sz w:val="28"/>
          <w:szCs w:val="28"/>
          <w:rtl/>
        </w:rPr>
        <w:t>סתייע ב</w:t>
      </w:r>
      <w:r w:rsidRPr="001A0B66">
        <w:rPr>
          <w:rFonts w:ascii="FrankRuehl" w:hAnsi="FrankRuehl" w:cs="FrankRuehl"/>
          <w:sz w:val="28"/>
          <w:szCs w:val="28"/>
          <w:rtl/>
        </w:rPr>
        <w:t xml:space="preserve">מתורגמן לשפה הערבית </w:t>
      </w:r>
      <w:r w:rsidR="00876A71" w:rsidRPr="001A0B66">
        <w:rPr>
          <w:rFonts w:ascii="FrankRuehl" w:hAnsi="FrankRuehl" w:cs="FrankRuehl"/>
          <w:sz w:val="28"/>
          <w:szCs w:val="28"/>
          <w:rtl/>
        </w:rPr>
        <w:t>ו</w:t>
      </w:r>
      <w:r w:rsidR="003259D8" w:rsidRPr="001A0B66">
        <w:rPr>
          <w:rFonts w:ascii="FrankRuehl" w:hAnsi="FrankRuehl" w:cs="FrankRuehl"/>
          <w:sz w:val="28"/>
          <w:szCs w:val="28"/>
          <w:rtl/>
        </w:rPr>
        <w:t xml:space="preserve">הצורך </w:t>
      </w:r>
      <w:r w:rsidR="00B36AE6" w:rsidRPr="001A0B66">
        <w:rPr>
          <w:rFonts w:ascii="FrankRuehl" w:hAnsi="FrankRuehl" w:cs="FrankRuehl"/>
          <w:sz w:val="28"/>
          <w:szCs w:val="28"/>
          <w:rtl/>
        </w:rPr>
        <w:t>לחקור</w:t>
      </w:r>
      <w:r w:rsidR="00A81D6E" w:rsidRPr="001A0B66">
        <w:rPr>
          <w:rFonts w:ascii="FrankRuehl" w:hAnsi="FrankRuehl" w:cs="FrankRuehl"/>
          <w:sz w:val="28"/>
          <w:szCs w:val="28"/>
          <w:rtl/>
        </w:rPr>
        <w:t xml:space="preserve"> בבית המשפ</w:t>
      </w:r>
      <w:r w:rsidR="00D92647" w:rsidRPr="001A0B66">
        <w:rPr>
          <w:rFonts w:ascii="FrankRuehl" w:hAnsi="FrankRuehl" w:cs="FrankRuehl"/>
          <w:sz w:val="28"/>
          <w:szCs w:val="28"/>
          <w:rtl/>
        </w:rPr>
        <w:t>ט א</w:t>
      </w:r>
      <w:r w:rsidR="00417973" w:rsidRPr="001A0B66">
        <w:rPr>
          <w:rFonts w:ascii="FrankRuehl" w:hAnsi="FrankRuehl" w:cs="FrankRuehl"/>
          <w:sz w:val="28"/>
          <w:szCs w:val="28"/>
          <w:rtl/>
        </w:rPr>
        <w:t>ת חוקרי השב"כ ש</w:t>
      </w:r>
      <w:r w:rsidR="00CB7514" w:rsidRPr="001A0B66">
        <w:rPr>
          <w:rFonts w:ascii="FrankRuehl" w:hAnsi="FrankRuehl" w:cs="FrankRuehl"/>
          <w:sz w:val="28"/>
          <w:szCs w:val="28"/>
          <w:rtl/>
        </w:rPr>
        <w:t>אספו את הראיות</w:t>
      </w:r>
      <w:r w:rsidR="00A81D6E" w:rsidRPr="001A0B66">
        <w:rPr>
          <w:rFonts w:ascii="FrankRuehl" w:hAnsi="FrankRuehl" w:cs="FrankRuehl"/>
          <w:sz w:val="28"/>
          <w:szCs w:val="28"/>
          <w:rtl/>
        </w:rPr>
        <w:t xml:space="preserve"> החסויות</w:t>
      </w:r>
      <w:r w:rsidR="00122B0B" w:rsidRPr="001A0B66">
        <w:rPr>
          <w:rFonts w:ascii="FrankRuehl" w:hAnsi="FrankRuehl" w:cs="FrankRuehl"/>
          <w:sz w:val="28"/>
          <w:szCs w:val="28"/>
          <w:rtl/>
        </w:rPr>
        <w:t xml:space="preserve"> </w:t>
      </w:r>
      <w:r w:rsidR="003259D8" w:rsidRPr="001A0B66">
        <w:rPr>
          <w:rFonts w:ascii="FrankRuehl" w:hAnsi="FrankRuehl" w:cs="FrankRuehl"/>
          <w:sz w:val="28"/>
          <w:szCs w:val="28"/>
          <w:rtl/>
        </w:rPr>
        <w:t>ו</w:t>
      </w:r>
      <w:r w:rsidR="00122B0B" w:rsidRPr="001A0B66">
        <w:rPr>
          <w:rFonts w:ascii="FrankRuehl" w:hAnsi="FrankRuehl" w:cs="FrankRuehl"/>
          <w:sz w:val="28"/>
          <w:szCs w:val="28"/>
          <w:rtl/>
        </w:rPr>
        <w:t>לזמן עדים נוספים מטעמו של האדם</w:t>
      </w:r>
      <w:r w:rsidRPr="001A0B66">
        <w:rPr>
          <w:rFonts w:ascii="FrankRuehl" w:hAnsi="FrankRuehl" w:cs="FrankRuehl"/>
          <w:sz w:val="28"/>
          <w:szCs w:val="28"/>
          <w:rtl/>
        </w:rPr>
        <w:t>.</w:t>
      </w:r>
      <w:r w:rsidR="00223840" w:rsidRPr="001A0B66">
        <w:rPr>
          <w:rFonts w:ascii="FrankRuehl" w:hAnsi="FrankRuehl" w:cs="FrankRuehl"/>
          <w:sz w:val="28"/>
          <w:szCs w:val="28"/>
          <w:rtl/>
        </w:rPr>
        <w:t xml:space="preserve"> </w:t>
      </w:r>
    </w:p>
    <w:p w14:paraId="70A1B856" w14:textId="77777777" w:rsidR="009D5943" w:rsidRPr="001A0B66" w:rsidRDefault="00C2059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חשיבות</w:t>
      </w:r>
      <w:r w:rsidR="003259D8" w:rsidRPr="001A0B66">
        <w:rPr>
          <w:rFonts w:ascii="FrankRuehl" w:hAnsi="FrankRuehl" w:cs="FrankRuehl"/>
          <w:sz w:val="28"/>
          <w:szCs w:val="28"/>
          <w:rtl/>
        </w:rPr>
        <w:t>ם</w:t>
      </w:r>
      <w:r w:rsidRPr="001A0B66">
        <w:rPr>
          <w:rFonts w:ascii="FrankRuehl" w:hAnsi="FrankRuehl" w:cs="FrankRuehl"/>
          <w:sz w:val="28"/>
          <w:szCs w:val="28"/>
          <w:rtl/>
        </w:rPr>
        <w:t xml:space="preserve"> של שלוש</w:t>
      </w:r>
      <w:r w:rsidR="003259D8" w:rsidRPr="001A0B66">
        <w:rPr>
          <w:rFonts w:ascii="FrankRuehl" w:hAnsi="FrankRuehl" w:cs="FrankRuehl"/>
          <w:sz w:val="28"/>
          <w:szCs w:val="28"/>
          <w:rtl/>
        </w:rPr>
        <w:t>ת</w:t>
      </w:r>
      <w:r w:rsidRPr="001A0B66">
        <w:rPr>
          <w:rFonts w:ascii="FrankRuehl" w:hAnsi="FrankRuehl" w:cs="FrankRuehl"/>
          <w:sz w:val="28"/>
          <w:szCs w:val="28"/>
          <w:rtl/>
        </w:rPr>
        <w:t xml:space="preserve"> </w:t>
      </w:r>
      <w:r w:rsidR="003259D8" w:rsidRPr="001A0B66">
        <w:rPr>
          <w:rFonts w:ascii="FrankRuehl" w:hAnsi="FrankRuehl" w:cs="FrankRuehl"/>
          <w:sz w:val="28"/>
          <w:szCs w:val="28"/>
          <w:rtl/>
        </w:rPr>
        <w:t xml:space="preserve">הצרכים </w:t>
      </w:r>
      <w:r w:rsidRPr="001A0B66">
        <w:rPr>
          <w:rFonts w:ascii="FrankRuehl" w:hAnsi="FrankRuehl" w:cs="FrankRuehl"/>
          <w:sz w:val="28"/>
          <w:szCs w:val="28"/>
          <w:rtl/>
        </w:rPr>
        <w:t>ה</w:t>
      </w:r>
      <w:r w:rsidR="000F28FF" w:rsidRPr="001A0B66">
        <w:rPr>
          <w:rFonts w:ascii="FrankRuehl" w:hAnsi="FrankRuehl" w:cs="FrankRuehl"/>
          <w:sz w:val="28"/>
          <w:szCs w:val="28"/>
          <w:rtl/>
        </w:rPr>
        <w:t>ל</w:t>
      </w:r>
      <w:r w:rsidRPr="001A0B66">
        <w:rPr>
          <w:rFonts w:ascii="FrankRuehl" w:hAnsi="FrankRuehl" w:cs="FrankRuehl"/>
          <w:sz w:val="28"/>
          <w:szCs w:val="28"/>
          <w:rtl/>
        </w:rPr>
        <w:t>לו עולה מתוכ</w:t>
      </w:r>
      <w:r w:rsidR="003259D8" w:rsidRPr="001A0B66">
        <w:rPr>
          <w:rFonts w:ascii="FrankRuehl" w:hAnsi="FrankRuehl" w:cs="FrankRuehl"/>
          <w:sz w:val="28"/>
          <w:szCs w:val="28"/>
          <w:rtl/>
        </w:rPr>
        <w:t>ם</w:t>
      </w:r>
      <w:r w:rsidRPr="001A0B66">
        <w:rPr>
          <w:rFonts w:ascii="FrankRuehl" w:hAnsi="FrankRuehl" w:cs="FrankRuehl"/>
          <w:sz w:val="28"/>
          <w:szCs w:val="28"/>
          <w:rtl/>
        </w:rPr>
        <w:t xml:space="preserve">. </w:t>
      </w:r>
      <w:r w:rsidR="004E23B7" w:rsidRPr="001A0B66">
        <w:rPr>
          <w:rFonts w:ascii="FrankRuehl" w:hAnsi="FrankRuehl" w:cs="FrankRuehl"/>
          <w:sz w:val="28"/>
          <w:szCs w:val="28"/>
          <w:rtl/>
        </w:rPr>
        <w:t xml:space="preserve">בכל עניין עובדתי מורכב, </w:t>
      </w:r>
      <w:r w:rsidR="003259D8" w:rsidRPr="001A0B66">
        <w:rPr>
          <w:rFonts w:ascii="FrankRuehl" w:hAnsi="FrankRuehl" w:cs="FrankRuehl"/>
          <w:sz w:val="28"/>
          <w:szCs w:val="28"/>
          <w:rtl/>
        </w:rPr>
        <w:t xml:space="preserve">על אחת כמה וכמה </w:t>
      </w:r>
      <w:r w:rsidR="004E23B7" w:rsidRPr="001A0B66">
        <w:rPr>
          <w:rFonts w:ascii="FrankRuehl" w:hAnsi="FrankRuehl" w:cs="FrankRuehl"/>
          <w:sz w:val="28"/>
          <w:szCs w:val="28"/>
          <w:rtl/>
        </w:rPr>
        <w:t>בהקשר ביטחוני</w:t>
      </w:r>
      <w:r w:rsidRPr="001A0B66">
        <w:rPr>
          <w:rFonts w:ascii="FrankRuehl" w:hAnsi="FrankRuehl" w:cs="FrankRuehl"/>
          <w:sz w:val="28"/>
          <w:szCs w:val="28"/>
          <w:rtl/>
        </w:rPr>
        <w:t>, טמונות שאלות מגוונות</w:t>
      </w:r>
      <w:r w:rsidR="00123FA6" w:rsidRPr="001A0B66">
        <w:rPr>
          <w:rFonts w:ascii="FrankRuehl" w:hAnsi="FrankRuehl" w:cs="FrankRuehl"/>
          <w:sz w:val="28"/>
          <w:szCs w:val="28"/>
          <w:rtl/>
        </w:rPr>
        <w:t xml:space="preserve"> המחריפות כאשר מדובר בראיות מודיעיניות</w:t>
      </w:r>
      <w:r w:rsidR="000F28FF" w:rsidRPr="001A0B66">
        <w:rPr>
          <w:rFonts w:ascii="FrankRuehl" w:hAnsi="FrankRuehl" w:cs="FrankRuehl"/>
          <w:sz w:val="28"/>
          <w:szCs w:val="28"/>
          <w:rtl/>
        </w:rPr>
        <w:t>.</w:t>
      </w:r>
      <w:r w:rsidR="00667CE4" w:rsidRPr="001A0B66">
        <w:rPr>
          <w:rFonts w:ascii="FrankRuehl" w:hAnsi="FrankRuehl" w:cs="FrankRuehl"/>
          <w:sz w:val="28"/>
          <w:szCs w:val="28"/>
          <w:rtl/>
        </w:rPr>
        <w:t xml:space="preserve"> </w:t>
      </w:r>
      <w:r w:rsidR="004E0820" w:rsidRPr="001A0B66">
        <w:rPr>
          <w:rFonts w:ascii="FrankRuehl" w:hAnsi="FrankRuehl" w:cs="FrankRuehl"/>
          <w:sz w:val="28"/>
          <w:szCs w:val="28"/>
          <w:rtl/>
        </w:rPr>
        <w:t>להלן</w:t>
      </w:r>
      <w:r w:rsidR="009D5943" w:rsidRPr="001A0B66">
        <w:rPr>
          <w:rFonts w:ascii="FrankRuehl" w:hAnsi="FrankRuehl" w:cs="FrankRuehl"/>
          <w:sz w:val="28"/>
          <w:szCs w:val="28"/>
          <w:rtl/>
        </w:rPr>
        <w:t xml:space="preserve"> דברים חשובים שאומר השופט מצא ביחס לשאלות הללו:</w:t>
      </w:r>
      <w:r w:rsidR="009D5943" w:rsidRPr="001A0B66">
        <w:rPr>
          <w:rStyle w:val="FootnoteReference"/>
          <w:rFonts w:ascii="FrankRuehl" w:hAnsi="FrankRuehl" w:cs="FrankRuehl"/>
          <w:sz w:val="28"/>
          <w:szCs w:val="28"/>
          <w:rtl/>
        </w:rPr>
        <w:t xml:space="preserve"> </w:t>
      </w:r>
      <w:r w:rsidR="009D5943" w:rsidRPr="001A0B66">
        <w:rPr>
          <w:rStyle w:val="FootnoteReference"/>
          <w:rFonts w:ascii="FrankRuehl" w:hAnsi="FrankRuehl" w:cs="FrankRuehl"/>
          <w:sz w:val="28"/>
          <w:szCs w:val="28"/>
          <w:rtl/>
        </w:rPr>
        <w:footnoteReference w:id="85"/>
      </w:r>
    </w:p>
    <w:p w14:paraId="0729C15E" w14:textId="77777777" w:rsidR="00D53236" w:rsidRPr="001A0B66" w:rsidRDefault="009D5943" w:rsidP="00F307FB">
      <w:pPr>
        <w:pStyle w:val="a0"/>
        <w:spacing w:line="276" w:lineRule="auto"/>
        <w:ind w:left="720" w:right="709" w:firstLine="0"/>
        <w:rPr>
          <w:rFonts w:ascii="FrankRuehl" w:hAnsi="FrankRuehl" w:cs="FrankRuehl"/>
          <w:sz w:val="28"/>
          <w:szCs w:val="28"/>
          <w:rtl/>
        </w:rPr>
      </w:pPr>
      <w:r w:rsidRPr="001A0B66">
        <w:rPr>
          <w:rFonts w:ascii="FrankRuehl" w:hAnsi="FrankRuehl" w:cs="FrankRuehl"/>
          <w:sz w:val="28"/>
          <w:szCs w:val="28"/>
          <w:rtl/>
        </w:rPr>
        <w:lastRenderedPageBreak/>
        <w:t>"היקף הבדיקה והאמצעים הנדרשים לקיומה נגזרים מכמותו, מרמתו ומאיכותו של החומר החסוי המוגש לעיונו של השופט. לא הרי מידע המתייחס למספר אירועים כהרי מידע המתייחס לאירוע בודד; לא הרי מידע ממקור אחד כהרי מידע ממקורות שונים; ולא הרי מידע המבוסס, כל-כולו, על דברי סוכנים ומודיעים בלבד כהרי מידע שנמצא לו ביסוס או חיזוק גם במסמכים שהושגו על-ידי שירותי הביטחון או במודיעין הניזון מהפעלת אמצעים מיוחדים. זאת ועוד: מניסיוננו המצטבר עולה, כי במקרים רבים כולל המידע המוגש לשופט גם נתונים אודות מוסרי המידע, לרבות נתונים אודות מהות קשריהם עם שירות הביטחון הכללי או עם רשויות אחרות. על יסוד עיון בחומר הכתוב – העשוי להיות מלווה בהצגת שאלות למי שהגיש את החומר לעיונו (נציג התביעה או נציג שירות הביטחון הכללי) – בידי השופט להחליט אם די בחומר המצוי כדי לשכנעו בדבר קיומו של מידע אמין שבכוחו להצדיק את המעצר. ואם סבר השופט, כי המקרה שלפניו מחייב בדיקה יותר מעמיקה ומפורטת של המידע, חזקה עליו שיורה על קיומה ויקבע את הדרכים המתאימות לעריכת הבדיקה. כך, למשל, עשוי השופט להזמין גורמים נוספים מקרב אנשי שירות הביטחון הכללי, שהיו מעורבים באיסוף החומר, במטרה לעמוד מקרוב על הערכותיהם בדבר אמינותו ולבחון את שיקוליהם</w:t>
      </w:r>
      <w:r w:rsidR="001B21F5" w:rsidRPr="001A0B66">
        <w:rPr>
          <w:rFonts w:ascii="FrankRuehl" w:hAnsi="FrankRuehl" w:cs="FrankRuehl"/>
          <w:sz w:val="28"/>
          <w:szCs w:val="28"/>
          <w:rtl/>
        </w:rPr>
        <w:t>"</w:t>
      </w:r>
      <w:r w:rsidRPr="001A0B66">
        <w:rPr>
          <w:rFonts w:ascii="FrankRuehl" w:hAnsi="FrankRuehl" w:cs="FrankRuehl"/>
          <w:sz w:val="28"/>
          <w:szCs w:val="28"/>
          <w:rtl/>
        </w:rPr>
        <w:t>.</w:t>
      </w:r>
    </w:p>
    <w:p w14:paraId="67EBEC04" w14:textId="77777777" w:rsidR="009E7655" w:rsidRPr="001A0B66" w:rsidRDefault="009D5943" w:rsidP="00F307FB">
      <w:pPr>
        <w:pStyle w:val="a0"/>
        <w:spacing w:line="276" w:lineRule="auto"/>
        <w:ind w:firstLine="0"/>
        <w:rPr>
          <w:rFonts w:ascii="FrankRuehl" w:hAnsi="FrankRuehl" w:cs="FrankRuehl"/>
          <w:sz w:val="28"/>
          <w:szCs w:val="28"/>
          <w:rtl/>
        </w:rPr>
      </w:pPr>
      <w:r w:rsidRPr="001A0B66">
        <w:rPr>
          <w:rFonts w:ascii="FrankRuehl" w:hAnsi="FrankRuehl" w:cs="FrankRuehl"/>
          <w:sz w:val="28"/>
          <w:szCs w:val="28"/>
          <w:rtl/>
        </w:rPr>
        <w:t xml:space="preserve">הנה לפיכך רשימה חלקית של שאלות שעורכת הדין המיוחדת צפויה לזהותן כרלבנטיות להגנתו של האדם: </w:t>
      </w:r>
      <w:r w:rsidR="00667CE4" w:rsidRPr="001A0B66">
        <w:rPr>
          <w:rFonts w:ascii="FrankRuehl" w:hAnsi="FrankRuehl" w:cs="FrankRuehl"/>
          <w:sz w:val="28"/>
          <w:szCs w:val="28"/>
          <w:rtl/>
        </w:rPr>
        <w:t>האם בעדויות נטענים דברים דומים כלפי האדם, והאם הן</w:t>
      </w:r>
      <w:r w:rsidR="002D0885">
        <w:rPr>
          <w:rFonts w:ascii="FrankRuehl" w:hAnsi="FrankRuehl" w:cs="FrankRuehl"/>
          <w:sz w:val="28"/>
          <w:szCs w:val="28"/>
          <w:rtl/>
        </w:rPr>
        <w:t>, העדויות,</w:t>
      </w:r>
      <w:r w:rsidR="00667CE4" w:rsidRPr="001A0B66">
        <w:rPr>
          <w:rFonts w:ascii="FrankRuehl" w:hAnsi="FrankRuehl" w:cs="FrankRuehl"/>
          <w:sz w:val="28"/>
          <w:szCs w:val="28"/>
          <w:rtl/>
        </w:rPr>
        <w:t xml:space="preserve"> מצטלבות (משמע יש </w:t>
      </w:r>
      <w:r w:rsidR="0072610D" w:rsidRPr="001A0B66">
        <w:rPr>
          <w:rFonts w:ascii="FrankRuehl" w:hAnsi="FrankRuehl" w:cs="FrankRuehl"/>
          <w:sz w:val="28"/>
          <w:szCs w:val="28"/>
          <w:rtl/>
        </w:rPr>
        <w:t xml:space="preserve">מספר </w:t>
      </w:r>
      <w:r w:rsidR="00667CE4" w:rsidRPr="001A0B66">
        <w:rPr>
          <w:rFonts w:ascii="FrankRuehl" w:hAnsi="FrankRuehl" w:cs="FrankRuehl"/>
          <w:sz w:val="28"/>
          <w:szCs w:val="28"/>
          <w:rtl/>
        </w:rPr>
        <w:t>מקורות עצמאיים בשאלת מסוכנותו של האדם)?</w:t>
      </w:r>
      <w:r w:rsidR="000F28FF" w:rsidRPr="001A0B66">
        <w:rPr>
          <w:rFonts w:ascii="FrankRuehl" w:hAnsi="FrankRuehl" w:cs="FrankRuehl"/>
          <w:sz w:val="28"/>
          <w:szCs w:val="28"/>
          <w:rtl/>
        </w:rPr>
        <w:t xml:space="preserve"> </w:t>
      </w:r>
      <w:r w:rsidR="009A402D" w:rsidRPr="001A0B66">
        <w:rPr>
          <w:rFonts w:ascii="FrankRuehl" w:hAnsi="FrankRuehl" w:cs="FrankRuehl"/>
          <w:sz w:val="28"/>
          <w:szCs w:val="28"/>
          <w:rtl/>
        </w:rPr>
        <w:t>האם ההסתמכות על מקור אנושי נעשית בזהירות המתבקשת (החשש הוא</w:t>
      </w:r>
      <w:r w:rsidR="0001531B" w:rsidRPr="001A0B66">
        <w:rPr>
          <w:rFonts w:ascii="FrankRuehl" w:hAnsi="FrankRuehl" w:cs="FrankRuehl"/>
          <w:sz w:val="28"/>
          <w:szCs w:val="28"/>
          <w:rtl/>
        </w:rPr>
        <w:t>, בין היתר,</w:t>
      </w:r>
      <w:r w:rsidR="009A402D" w:rsidRPr="001A0B66">
        <w:rPr>
          <w:rFonts w:ascii="FrankRuehl" w:hAnsi="FrankRuehl" w:cs="FrankRuehl"/>
          <w:sz w:val="28"/>
          <w:szCs w:val="28"/>
          <w:rtl/>
        </w:rPr>
        <w:t xml:space="preserve"> כי התמריצים שמשתפי פעולה מקבלים </w:t>
      </w:r>
      <w:r w:rsidR="009D08E5" w:rsidRPr="001A0B66">
        <w:rPr>
          <w:rFonts w:ascii="FrankRuehl" w:hAnsi="FrankRuehl" w:cs="FrankRuehl"/>
          <w:sz w:val="28"/>
          <w:szCs w:val="28"/>
          <w:rtl/>
        </w:rPr>
        <w:t xml:space="preserve">כדי למסור </w:t>
      </w:r>
      <w:r w:rsidR="009A402D" w:rsidRPr="001A0B66">
        <w:rPr>
          <w:rFonts w:ascii="FrankRuehl" w:hAnsi="FrankRuehl" w:cs="FrankRuehl"/>
          <w:sz w:val="28"/>
          <w:szCs w:val="28"/>
          <w:rtl/>
        </w:rPr>
        <w:t>מידע על אנשים עשויים להוביל למעצרי שווא)?</w:t>
      </w:r>
      <w:r w:rsidR="009A402D" w:rsidRPr="001A0B66">
        <w:rPr>
          <w:rStyle w:val="FootnoteReference"/>
          <w:rFonts w:ascii="FrankRuehl" w:hAnsi="FrankRuehl" w:cs="FrankRuehl"/>
          <w:sz w:val="28"/>
          <w:szCs w:val="28"/>
          <w:rtl/>
        </w:rPr>
        <w:footnoteReference w:id="86"/>
      </w:r>
      <w:r w:rsidR="009A402D" w:rsidRPr="001A0B66">
        <w:rPr>
          <w:rFonts w:ascii="FrankRuehl" w:hAnsi="FrankRuehl" w:cs="FrankRuehl"/>
          <w:sz w:val="28"/>
          <w:szCs w:val="28"/>
          <w:rtl/>
        </w:rPr>
        <w:t xml:space="preserve"> האם מדובר באירוע רב</w:t>
      </w:r>
      <w:r w:rsidR="00F10DDB" w:rsidRPr="001A0B66">
        <w:rPr>
          <w:rFonts w:ascii="FrankRuehl" w:hAnsi="FrankRuehl" w:cs="FrankRuehl"/>
          <w:sz w:val="28"/>
          <w:szCs w:val="28"/>
          <w:rtl/>
        </w:rPr>
        <w:t xml:space="preserve"> </w:t>
      </w:r>
      <w:r w:rsidR="009A402D" w:rsidRPr="001A0B66">
        <w:rPr>
          <w:rFonts w:ascii="FrankRuehl" w:hAnsi="FrankRuehl" w:cs="FrankRuehl"/>
          <w:sz w:val="28"/>
          <w:szCs w:val="28"/>
          <w:rtl/>
        </w:rPr>
        <w:t>משתתפים, שאז פוחת מא</w:t>
      </w:r>
      <w:r w:rsidR="00704948" w:rsidRPr="001A0B66">
        <w:rPr>
          <w:rFonts w:ascii="FrankRuehl" w:hAnsi="FrankRuehl" w:cs="FrankRuehl"/>
          <w:sz w:val="28"/>
          <w:szCs w:val="28"/>
          <w:rtl/>
        </w:rPr>
        <w:t>ו</w:t>
      </w:r>
      <w:r w:rsidR="009A402D" w:rsidRPr="001A0B66">
        <w:rPr>
          <w:rFonts w:ascii="FrankRuehl" w:hAnsi="FrankRuehl" w:cs="FrankRuehl"/>
          <w:sz w:val="28"/>
          <w:szCs w:val="28"/>
          <w:rtl/>
        </w:rPr>
        <w:t xml:space="preserve">ד הסיכון </w:t>
      </w:r>
      <w:r w:rsidR="00F10DDB" w:rsidRPr="001A0B66">
        <w:rPr>
          <w:rFonts w:ascii="FrankRuehl" w:hAnsi="FrankRuehl" w:cs="FrankRuehl"/>
          <w:sz w:val="28"/>
          <w:szCs w:val="28"/>
          <w:rtl/>
        </w:rPr>
        <w:t xml:space="preserve">הטמון </w:t>
      </w:r>
      <w:r w:rsidR="009A402D" w:rsidRPr="001A0B66">
        <w:rPr>
          <w:rFonts w:ascii="FrankRuehl" w:hAnsi="FrankRuehl" w:cs="FrankRuehl"/>
          <w:sz w:val="28"/>
          <w:szCs w:val="28"/>
          <w:rtl/>
        </w:rPr>
        <w:t xml:space="preserve">בחשיפת מידע ביחס אליו? האם </w:t>
      </w:r>
      <w:r w:rsidR="0072610D" w:rsidRPr="001A0B66">
        <w:rPr>
          <w:rFonts w:ascii="FrankRuehl" w:hAnsi="FrankRuehl" w:cs="FrankRuehl"/>
          <w:sz w:val="28"/>
          <w:szCs w:val="28"/>
          <w:rtl/>
        </w:rPr>
        <w:t>נטען ש</w:t>
      </w:r>
      <w:r w:rsidR="009A402D" w:rsidRPr="001A0B66">
        <w:rPr>
          <w:rFonts w:ascii="FrankRuehl" w:hAnsi="FrankRuehl" w:cs="FrankRuehl"/>
          <w:sz w:val="28"/>
          <w:szCs w:val="28"/>
          <w:rtl/>
        </w:rPr>
        <w:t>דברים שאמר האדם באירוע שכז</w:t>
      </w:r>
      <w:r w:rsidR="002E4A53" w:rsidRPr="001A0B66">
        <w:rPr>
          <w:rFonts w:ascii="FrankRuehl" w:hAnsi="FrankRuehl" w:cs="FrankRuehl"/>
          <w:sz w:val="28"/>
          <w:szCs w:val="28"/>
          <w:rtl/>
        </w:rPr>
        <w:t>ה</w:t>
      </w:r>
      <w:r w:rsidR="00C95B04" w:rsidRPr="001A0B66">
        <w:rPr>
          <w:rFonts w:ascii="FrankRuehl" w:hAnsi="FrankRuehl" w:cs="FrankRuehl"/>
          <w:sz w:val="28"/>
          <w:szCs w:val="28"/>
          <w:rtl/>
        </w:rPr>
        <w:t xml:space="preserve"> מהווים </w:t>
      </w:r>
      <w:r w:rsidR="009A402D" w:rsidRPr="001A0B66">
        <w:rPr>
          <w:rFonts w:ascii="FrankRuehl" w:hAnsi="FrankRuehl" w:cs="FrankRuehl"/>
          <w:sz w:val="28"/>
          <w:szCs w:val="28"/>
          <w:rtl/>
        </w:rPr>
        <w:t>הסתה לאלימות?</w:t>
      </w:r>
      <w:r w:rsidR="009A402D" w:rsidRPr="001A0B66">
        <w:rPr>
          <w:rFonts w:ascii="FrankRuehl" w:hAnsi="FrankRuehl" w:cs="FrankRuehl"/>
          <w:b/>
          <w:bCs/>
          <w:sz w:val="28"/>
          <w:szCs w:val="28"/>
          <w:rtl/>
        </w:rPr>
        <w:t xml:space="preserve"> </w:t>
      </w:r>
      <w:r w:rsidR="009A402D" w:rsidRPr="001A0B66">
        <w:rPr>
          <w:rFonts w:ascii="FrankRuehl" w:hAnsi="FrankRuehl" w:cs="FrankRuehl"/>
          <w:sz w:val="28"/>
          <w:szCs w:val="28"/>
          <w:rtl/>
        </w:rPr>
        <w:t xml:space="preserve">במקרה כזה פרטי הדברים </w:t>
      </w:r>
      <w:r w:rsidR="009E7655" w:rsidRPr="001A0B66">
        <w:rPr>
          <w:rFonts w:ascii="FrankRuehl" w:hAnsi="FrankRuehl" w:cs="FrankRuehl"/>
          <w:sz w:val="28"/>
          <w:szCs w:val="28"/>
          <w:rtl/>
        </w:rPr>
        <w:t xml:space="preserve">שנטען כי אמר וכן </w:t>
      </w:r>
      <w:r w:rsidR="009A402D" w:rsidRPr="001A0B66">
        <w:rPr>
          <w:rFonts w:ascii="FrankRuehl" w:hAnsi="FrankRuehl" w:cs="FrankRuehl"/>
          <w:sz w:val="28"/>
          <w:szCs w:val="28"/>
          <w:rtl/>
        </w:rPr>
        <w:t xml:space="preserve">תרגומם </w:t>
      </w:r>
      <w:r w:rsidR="009E7655" w:rsidRPr="001A0B66">
        <w:rPr>
          <w:rFonts w:ascii="FrankRuehl" w:hAnsi="FrankRuehl" w:cs="FrankRuehl"/>
          <w:sz w:val="28"/>
          <w:szCs w:val="28"/>
          <w:rtl/>
        </w:rPr>
        <w:t xml:space="preserve">לעברית </w:t>
      </w:r>
      <w:r w:rsidR="009A402D" w:rsidRPr="001A0B66">
        <w:rPr>
          <w:rFonts w:ascii="FrankRuehl" w:hAnsi="FrankRuehl" w:cs="FrankRuehl"/>
          <w:sz w:val="28"/>
          <w:szCs w:val="28"/>
          <w:rtl/>
        </w:rPr>
        <w:t>חשובים כמובן מא</w:t>
      </w:r>
      <w:r w:rsidR="00704948" w:rsidRPr="001A0B66">
        <w:rPr>
          <w:rFonts w:ascii="FrankRuehl" w:hAnsi="FrankRuehl" w:cs="FrankRuehl"/>
          <w:sz w:val="28"/>
          <w:szCs w:val="28"/>
          <w:rtl/>
        </w:rPr>
        <w:t>ו</w:t>
      </w:r>
      <w:r w:rsidR="009A402D" w:rsidRPr="001A0B66">
        <w:rPr>
          <w:rFonts w:ascii="FrankRuehl" w:hAnsi="FrankRuehl" w:cs="FrankRuehl"/>
          <w:sz w:val="28"/>
          <w:szCs w:val="28"/>
          <w:rtl/>
        </w:rPr>
        <w:t>ד.</w:t>
      </w:r>
      <w:r w:rsidR="009A402D" w:rsidRPr="001A0B66">
        <w:rPr>
          <w:rFonts w:ascii="FrankRuehl" w:hAnsi="FrankRuehl" w:cs="FrankRuehl"/>
          <w:sz w:val="28"/>
          <w:szCs w:val="28"/>
          <w:vertAlign w:val="superscript"/>
          <w:rtl/>
        </w:rPr>
        <w:footnoteReference w:id="87"/>
      </w:r>
      <w:r w:rsidR="009A402D" w:rsidRPr="001A0B66">
        <w:rPr>
          <w:rFonts w:ascii="FrankRuehl" w:hAnsi="FrankRuehl" w:cs="FrankRuehl"/>
          <w:sz w:val="28"/>
          <w:szCs w:val="28"/>
          <w:rtl/>
        </w:rPr>
        <w:t xml:space="preserve"> </w:t>
      </w:r>
      <w:r w:rsidR="000F28FF" w:rsidRPr="001A0B66">
        <w:rPr>
          <w:rFonts w:ascii="FrankRuehl" w:hAnsi="FrankRuehl" w:cs="FrankRuehl"/>
          <w:sz w:val="28"/>
          <w:szCs w:val="28"/>
          <w:rtl/>
        </w:rPr>
        <w:t>בנתיב המשפט הפלילי שאלות שכאלו</w:t>
      </w:r>
      <w:r w:rsidR="009A402D" w:rsidRPr="001A0B66">
        <w:rPr>
          <w:rFonts w:ascii="FrankRuehl" w:hAnsi="FrankRuehl" w:cs="FrankRuehl"/>
          <w:sz w:val="28"/>
          <w:szCs w:val="28"/>
          <w:rtl/>
        </w:rPr>
        <w:t xml:space="preserve"> (וכל השאלות האחרות)</w:t>
      </w:r>
      <w:r w:rsidR="000F28FF" w:rsidRPr="001A0B66">
        <w:rPr>
          <w:rFonts w:ascii="FrankRuehl" w:hAnsi="FrankRuehl" w:cs="FrankRuehl"/>
          <w:sz w:val="28"/>
          <w:szCs w:val="28"/>
          <w:rtl/>
        </w:rPr>
        <w:t xml:space="preserve"> </w:t>
      </w:r>
      <w:r w:rsidR="00C95B04" w:rsidRPr="001A0B66">
        <w:rPr>
          <w:rFonts w:ascii="FrankRuehl" w:hAnsi="FrankRuehl" w:cs="FrankRuehl"/>
          <w:sz w:val="28"/>
          <w:szCs w:val="28"/>
          <w:rtl/>
        </w:rPr>
        <w:t>יכולות לזכות</w:t>
      </w:r>
      <w:r w:rsidR="009A402D" w:rsidRPr="001A0B66">
        <w:rPr>
          <w:rFonts w:ascii="FrankRuehl" w:hAnsi="FrankRuehl" w:cs="FrankRuehl"/>
          <w:sz w:val="28"/>
          <w:szCs w:val="28"/>
          <w:rtl/>
        </w:rPr>
        <w:t xml:space="preserve"> לתשובה מקיפה </w:t>
      </w:r>
      <w:r w:rsidR="000F28FF" w:rsidRPr="001A0B66">
        <w:rPr>
          <w:rFonts w:ascii="FrankRuehl" w:hAnsi="FrankRuehl" w:cs="FrankRuehl"/>
          <w:sz w:val="28"/>
          <w:szCs w:val="28"/>
          <w:rtl/>
        </w:rPr>
        <w:t xml:space="preserve">בדרך של </w:t>
      </w:r>
      <w:r w:rsidR="00757DB3" w:rsidRPr="001A0B66">
        <w:rPr>
          <w:rFonts w:ascii="FrankRuehl" w:hAnsi="FrankRuehl" w:cs="FrankRuehl"/>
          <w:sz w:val="28"/>
          <w:szCs w:val="28"/>
          <w:rtl/>
        </w:rPr>
        <w:t>עדויות, המצאת מסמכים</w:t>
      </w:r>
      <w:r w:rsidR="00C2059D" w:rsidRPr="001A0B66">
        <w:rPr>
          <w:rFonts w:ascii="FrankRuehl" w:hAnsi="FrankRuehl" w:cs="FrankRuehl"/>
          <w:sz w:val="28"/>
          <w:szCs w:val="28"/>
          <w:rtl/>
        </w:rPr>
        <w:t xml:space="preserve"> וחקירה נגדית</w:t>
      </w:r>
      <w:r w:rsidR="000F28FF" w:rsidRPr="001A0B66">
        <w:rPr>
          <w:rFonts w:ascii="FrankRuehl" w:hAnsi="FrankRuehl" w:cs="FrankRuehl"/>
          <w:sz w:val="28"/>
          <w:szCs w:val="28"/>
          <w:rtl/>
        </w:rPr>
        <w:t xml:space="preserve"> בבית המשפט</w:t>
      </w:r>
      <w:r w:rsidR="009A402D" w:rsidRPr="001A0B66">
        <w:rPr>
          <w:rFonts w:ascii="FrankRuehl" w:hAnsi="FrankRuehl" w:cs="FrankRuehl"/>
          <w:sz w:val="28"/>
          <w:szCs w:val="28"/>
          <w:rtl/>
        </w:rPr>
        <w:t xml:space="preserve">. </w:t>
      </w:r>
      <w:r w:rsidR="00234E6E" w:rsidRPr="001A0B66">
        <w:rPr>
          <w:rFonts w:ascii="FrankRuehl" w:hAnsi="FrankRuehl" w:cs="FrankRuehl"/>
          <w:sz w:val="28"/>
          <w:szCs w:val="28"/>
          <w:rtl/>
        </w:rPr>
        <w:t xml:space="preserve">מה מכל אלה </w:t>
      </w:r>
      <w:r w:rsidR="009E7655" w:rsidRPr="001A0B66">
        <w:rPr>
          <w:rFonts w:ascii="FrankRuehl" w:hAnsi="FrankRuehl" w:cs="FrankRuehl"/>
          <w:sz w:val="28"/>
          <w:szCs w:val="28"/>
          <w:rtl/>
        </w:rPr>
        <w:t xml:space="preserve">נותר </w:t>
      </w:r>
      <w:r w:rsidR="000F28FF" w:rsidRPr="001A0B66">
        <w:rPr>
          <w:rFonts w:ascii="FrankRuehl" w:hAnsi="FrankRuehl" w:cs="FrankRuehl"/>
          <w:sz w:val="28"/>
          <w:szCs w:val="28"/>
          <w:rtl/>
        </w:rPr>
        <w:t xml:space="preserve">בנתיב </w:t>
      </w:r>
      <w:r w:rsidR="009D08E5" w:rsidRPr="001A0B66">
        <w:rPr>
          <w:rFonts w:ascii="FrankRuehl" w:hAnsi="FrankRuehl" w:cs="FrankRuehl"/>
          <w:sz w:val="28"/>
          <w:szCs w:val="28"/>
          <w:rtl/>
        </w:rPr>
        <w:t>סמכויות החירום</w:t>
      </w:r>
      <w:r w:rsidR="009E7655" w:rsidRPr="001A0B66">
        <w:rPr>
          <w:rFonts w:ascii="FrankRuehl" w:hAnsi="FrankRuehl" w:cs="FrankRuehl"/>
          <w:sz w:val="28"/>
          <w:szCs w:val="28"/>
          <w:rtl/>
        </w:rPr>
        <w:t>?</w:t>
      </w:r>
    </w:p>
    <w:p w14:paraId="60CA507C" w14:textId="77777777" w:rsidR="00CB6086" w:rsidRPr="001A0B66" w:rsidRDefault="000F28FF"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lastRenderedPageBreak/>
        <w:t>תפקיד</w:t>
      </w:r>
      <w:r w:rsidR="00A01FFD" w:rsidRPr="001A0B66">
        <w:rPr>
          <w:rFonts w:ascii="FrankRuehl" w:hAnsi="FrankRuehl" w:cs="FrankRuehl"/>
          <w:sz w:val="28"/>
          <w:szCs w:val="28"/>
          <w:rtl/>
        </w:rPr>
        <w:t>ו</w:t>
      </w:r>
      <w:r w:rsidRPr="001A0B66">
        <w:rPr>
          <w:rFonts w:ascii="FrankRuehl" w:hAnsi="FrankRuehl" w:cs="FrankRuehl"/>
          <w:sz w:val="28"/>
          <w:szCs w:val="28"/>
          <w:rtl/>
        </w:rPr>
        <w:t xml:space="preserve"> של</w:t>
      </w:r>
      <w:r w:rsidR="00A01FFD" w:rsidRPr="001A0B66">
        <w:rPr>
          <w:rFonts w:ascii="FrankRuehl" w:hAnsi="FrankRuehl" w:cs="FrankRuehl"/>
          <w:sz w:val="28"/>
          <w:szCs w:val="28"/>
          <w:rtl/>
        </w:rPr>
        <w:t xml:space="preserve"> השופט </w:t>
      </w:r>
      <w:r w:rsidR="00F10DDB" w:rsidRPr="001A0B66">
        <w:rPr>
          <w:rFonts w:ascii="FrankRuehl" w:hAnsi="FrankRuehl" w:cs="FrankRuehl"/>
          <w:sz w:val="28"/>
          <w:szCs w:val="28"/>
          <w:rtl/>
        </w:rPr>
        <w:t>כמעין</w:t>
      </w:r>
      <w:r w:rsidRPr="001A0B66">
        <w:rPr>
          <w:rFonts w:ascii="FrankRuehl" w:hAnsi="FrankRuehl" w:cs="FrankRuehl"/>
          <w:sz w:val="28"/>
          <w:szCs w:val="28"/>
          <w:rtl/>
        </w:rPr>
        <w:t xml:space="preserve"> "שופט חוקר" </w:t>
      </w:r>
      <w:r w:rsidR="00A01FFD" w:rsidRPr="001A0B66">
        <w:rPr>
          <w:rFonts w:ascii="FrankRuehl" w:hAnsi="FrankRuehl" w:cs="FrankRuehl"/>
          <w:sz w:val="28"/>
          <w:szCs w:val="28"/>
          <w:rtl/>
        </w:rPr>
        <w:t xml:space="preserve">במסגרת מודל הניהול השיפוטי </w:t>
      </w:r>
      <w:r w:rsidRPr="001A0B66">
        <w:rPr>
          <w:rFonts w:ascii="FrankRuehl" w:hAnsi="FrankRuehl" w:cs="FrankRuehl"/>
          <w:sz w:val="28"/>
          <w:szCs w:val="28"/>
          <w:rtl/>
        </w:rPr>
        <w:t>יכול היה ל</w:t>
      </w:r>
      <w:r w:rsidR="009E7655" w:rsidRPr="001A0B66">
        <w:rPr>
          <w:rFonts w:ascii="FrankRuehl" w:hAnsi="FrankRuehl" w:cs="FrankRuehl"/>
          <w:sz w:val="28"/>
          <w:szCs w:val="28"/>
          <w:rtl/>
        </w:rPr>
        <w:t xml:space="preserve">מתן את הקשיים העמוקים </w:t>
      </w:r>
      <w:r w:rsidRPr="001A0B66">
        <w:rPr>
          <w:rFonts w:ascii="FrankRuehl" w:hAnsi="FrankRuehl" w:cs="FrankRuehl"/>
          <w:sz w:val="28"/>
          <w:szCs w:val="28"/>
          <w:rtl/>
        </w:rPr>
        <w:t>שיוצרות הראיות החסויות,</w:t>
      </w:r>
      <w:r w:rsidR="009E7655" w:rsidRPr="001A0B66">
        <w:rPr>
          <w:rFonts w:ascii="FrankRuehl" w:hAnsi="FrankRuehl" w:cs="FrankRuehl"/>
          <w:sz w:val="28"/>
          <w:szCs w:val="28"/>
          <w:rtl/>
        </w:rPr>
        <w:t xml:space="preserve"> אך </w:t>
      </w:r>
      <w:r w:rsidRPr="001A0B66">
        <w:rPr>
          <w:rFonts w:ascii="FrankRuehl" w:hAnsi="FrankRuehl" w:cs="FrankRuehl"/>
          <w:sz w:val="28"/>
          <w:szCs w:val="28"/>
          <w:rtl/>
        </w:rPr>
        <w:t xml:space="preserve">אפשרות זו </w:t>
      </w:r>
      <w:r w:rsidR="009D08E5" w:rsidRPr="001A0B66">
        <w:rPr>
          <w:rFonts w:ascii="FrankRuehl" w:hAnsi="FrankRuehl" w:cs="FrankRuehl"/>
          <w:sz w:val="28"/>
          <w:szCs w:val="28"/>
          <w:rtl/>
        </w:rPr>
        <w:t>אינה מתממשת</w:t>
      </w:r>
      <w:r w:rsidRPr="001A0B66">
        <w:rPr>
          <w:rFonts w:ascii="FrankRuehl" w:hAnsi="FrankRuehl" w:cs="FrankRuehl"/>
          <w:sz w:val="28"/>
          <w:szCs w:val="28"/>
          <w:rtl/>
        </w:rPr>
        <w:t xml:space="preserve"> </w:t>
      </w:r>
      <w:r w:rsidR="00A01FFD" w:rsidRPr="001A0B66">
        <w:rPr>
          <w:rFonts w:ascii="FrankRuehl" w:hAnsi="FrankRuehl" w:cs="FrankRuehl"/>
          <w:sz w:val="28"/>
          <w:szCs w:val="28"/>
          <w:rtl/>
        </w:rPr>
        <w:t>ב</w:t>
      </w:r>
      <w:r w:rsidRPr="001A0B66">
        <w:rPr>
          <w:rFonts w:ascii="FrankRuehl" w:hAnsi="FrankRuehl" w:cs="FrankRuehl"/>
          <w:sz w:val="28"/>
          <w:szCs w:val="28"/>
          <w:rtl/>
        </w:rPr>
        <w:t xml:space="preserve">ישראל. </w:t>
      </w:r>
      <w:r w:rsidR="009D08E5" w:rsidRPr="001A0B66">
        <w:rPr>
          <w:rFonts w:ascii="FrankRuehl" w:hAnsi="FrankRuehl" w:cs="FrankRuehl"/>
          <w:sz w:val="28"/>
          <w:szCs w:val="28"/>
          <w:rtl/>
        </w:rPr>
        <w:t xml:space="preserve">לפיכך, </w:t>
      </w:r>
      <w:r w:rsidRPr="001A0B66">
        <w:rPr>
          <w:rFonts w:ascii="FrankRuehl" w:hAnsi="FrankRuehl" w:cs="FrankRuehl"/>
          <w:sz w:val="28"/>
          <w:szCs w:val="28"/>
          <w:rtl/>
        </w:rPr>
        <w:t>המודל ש</w:t>
      </w:r>
      <w:r w:rsidR="009E7655" w:rsidRPr="001A0B66">
        <w:rPr>
          <w:rFonts w:ascii="FrankRuehl" w:hAnsi="FrankRuehl" w:cs="FrankRuehl"/>
          <w:sz w:val="28"/>
          <w:szCs w:val="28"/>
          <w:rtl/>
        </w:rPr>
        <w:t xml:space="preserve">סיכוייו רבים יותר </w:t>
      </w:r>
      <w:r w:rsidR="0001531B" w:rsidRPr="001A0B66">
        <w:rPr>
          <w:rFonts w:ascii="FrankRuehl" w:hAnsi="FrankRuehl" w:cs="FrankRuehl"/>
          <w:sz w:val="28"/>
          <w:szCs w:val="28"/>
          <w:rtl/>
        </w:rPr>
        <w:t>להיטיב</w:t>
      </w:r>
      <w:r w:rsidR="00A01FFD" w:rsidRPr="001A0B66">
        <w:rPr>
          <w:rFonts w:ascii="FrankRuehl" w:hAnsi="FrankRuehl" w:cs="FrankRuehl"/>
          <w:sz w:val="28"/>
          <w:szCs w:val="28"/>
          <w:rtl/>
        </w:rPr>
        <w:t xml:space="preserve"> את המצב</w:t>
      </w:r>
      <w:r w:rsidR="009E7655" w:rsidRPr="001A0B66">
        <w:rPr>
          <w:rFonts w:ascii="FrankRuehl" w:hAnsi="FrankRuehl" w:cs="FrankRuehl"/>
          <w:sz w:val="28"/>
          <w:szCs w:val="28"/>
          <w:rtl/>
        </w:rPr>
        <w:t xml:space="preserve"> הוא </w:t>
      </w:r>
      <w:r w:rsidR="009D08E5" w:rsidRPr="001A0B66">
        <w:rPr>
          <w:rFonts w:ascii="FrankRuehl" w:hAnsi="FrankRuehl" w:cs="FrankRuehl"/>
          <w:sz w:val="28"/>
          <w:szCs w:val="28"/>
          <w:rtl/>
        </w:rPr>
        <w:t xml:space="preserve">מודל </w:t>
      </w:r>
      <w:r w:rsidRPr="001A0B66">
        <w:rPr>
          <w:rFonts w:ascii="FrankRuehl" w:hAnsi="FrankRuehl" w:cs="FrankRuehl"/>
          <w:sz w:val="28"/>
          <w:szCs w:val="28"/>
          <w:rtl/>
        </w:rPr>
        <w:t xml:space="preserve">הפרקליט המיוחד, </w:t>
      </w:r>
      <w:r w:rsidR="009E7655" w:rsidRPr="001A0B66">
        <w:rPr>
          <w:rFonts w:ascii="FrankRuehl" w:hAnsi="FrankRuehl" w:cs="FrankRuehl"/>
          <w:sz w:val="28"/>
          <w:szCs w:val="28"/>
          <w:rtl/>
        </w:rPr>
        <w:t>ואנו תרים אחר הדרך לשפרו. שאלת מפתח היא היכולות שיהיו ביד</w:t>
      </w:r>
      <w:r w:rsidR="00757DB3" w:rsidRPr="001A0B66">
        <w:rPr>
          <w:rFonts w:ascii="FrankRuehl" w:hAnsi="FrankRuehl" w:cs="FrankRuehl"/>
          <w:sz w:val="28"/>
          <w:szCs w:val="28"/>
          <w:rtl/>
        </w:rPr>
        <w:t>י</w:t>
      </w:r>
      <w:r w:rsidR="007B4C52" w:rsidRPr="001A0B66">
        <w:rPr>
          <w:rFonts w:ascii="FrankRuehl" w:hAnsi="FrankRuehl" w:cs="FrankRuehl"/>
          <w:sz w:val="28"/>
          <w:szCs w:val="28"/>
          <w:rtl/>
        </w:rPr>
        <w:t>ה</w:t>
      </w:r>
      <w:r w:rsidR="00757DB3" w:rsidRPr="001A0B66">
        <w:rPr>
          <w:rFonts w:ascii="FrankRuehl" w:hAnsi="FrankRuehl" w:cs="FrankRuehl"/>
          <w:sz w:val="28"/>
          <w:szCs w:val="28"/>
          <w:rtl/>
        </w:rPr>
        <w:t xml:space="preserve"> של עור</w:t>
      </w:r>
      <w:r w:rsidR="007B4C52" w:rsidRPr="001A0B66">
        <w:rPr>
          <w:rFonts w:ascii="FrankRuehl" w:hAnsi="FrankRuehl" w:cs="FrankRuehl"/>
          <w:sz w:val="28"/>
          <w:szCs w:val="28"/>
          <w:rtl/>
        </w:rPr>
        <w:t>כת</w:t>
      </w:r>
      <w:r w:rsidR="00757DB3" w:rsidRPr="001A0B66">
        <w:rPr>
          <w:rFonts w:ascii="FrankRuehl" w:hAnsi="FrankRuehl" w:cs="FrankRuehl"/>
          <w:sz w:val="28"/>
          <w:szCs w:val="28"/>
          <w:rtl/>
        </w:rPr>
        <w:t xml:space="preserve"> הדין המיוחד</w:t>
      </w:r>
      <w:r w:rsidR="007B4C52" w:rsidRPr="001A0B66">
        <w:rPr>
          <w:rFonts w:ascii="FrankRuehl" w:hAnsi="FrankRuehl" w:cs="FrankRuehl"/>
          <w:sz w:val="28"/>
          <w:szCs w:val="28"/>
          <w:rtl/>
        </w:rPr>
        <w:t>ת</w:t>
      </w:r>
      <w:r w:rsidR="009E7655" w:rsidRPr="001A0B66">
        <w:rPr>
          <w:rFonts w:ascii="FrankRuehl" w:hAnsi="FrankRuehl" w:cs="FrankRuehl"/>
          <w:sz w:val="28"/>
          <w:szCs w:val="28"/>
          <w:rtl/>
        </w:rPr>
        <w:t xml:space="preserve">: האם </w:t>
      </w:r>
      <w:r w:rsidR="007B4C52" w:rsidRPr="001A0B66">
        <w:rPr>
          <w:rFonts w:ascii="FrankRuehl" w:hAnsi="FrankRuehl" w:cs="FrankRuehl"/>
          <w:sz w:val="28"/>
          <w:szCs w:val="28"/>
          <w:rtl/>
        </w:rPr>
        <w:t>ת</w:t>
      </w:r>
      <w:r w:rsidR="009E7655" w:rsidRPr="001A0B66">
        <w:rPr>
          <w:rFonts w:ascii="FrankRuehl" w:hAnsi="FrankRuehl" w:cs="FrankRuehl"/>
          <w:sz w:val="28"/>
          <w:szCs w:val="28"/>
          <w:rtl/>
        </w:rPr>
        <w:t xml:space="preserve">ראה את חומר הגלם כולו, האם </w:t>
      </w:r>
      <w:r w:rsidR="007B4C52" w:rsidRPr="001A0B66">
        <w:rPr>
          <w:rFonts w:ascii="FrankRuehl" w:hAnsi="FrankRuehl" w:cs="FrankRuehl"/>
          <w:sz w:val="28"/>
          <w:szCs w:val="28"/>
          <w:rtl/>
        </w:rPr>
        <w:t>ת</w:t>
      </w:r>
      <w:r w:rsidR="009E7655" w:rsidRPr="001A0B66">
        <w:rPr>
          <w:rFonts w:ascii="FrankRuehl" w:hAnsi="FrankRuehl" w:cs="FrankRuehl"/>
          <w:sz w:val="28"/>
          <w:szCs w:val="28"/>
          <w:rtl/>
        </w:rPr>
        <w:t xml:space="preserve">וכל להבינו היטב (סוגיית המתורגמן) והאם </w:t>
      </w:r>
      <w:r w:rsidR="007B4C52" w:rsidRPr="001A0B66">
        <w:rPr>
          <w:rFonts w:ascii="FrankRuehl" w:hAnsi="FrankRuehl" w:cs="FrankRuehl"/>
          <w:sz w:val="28"/>
          <w:szCs w:val="28"/>
          <w:rtl/>
        </w:rPr>
        <w:t>ת</w:t>
      </w:r>
      <w:r w:rsidR="009E7655" w:rsidRPr="001A0B66">
        <w:rPr>
          <w:rFonts w:ascii="FrankRuehl" w:hAnsi="FrankRuehl" w:cs="FrankRuehl"/>
          <w:sz w:val="28"/>
          <w:szCs w:val="28"/>
          <w:rtl/>
        </w:rPr>
        <w:t>וכל ל</w:t>
      </w:r>
      <w:r w:rsidR="007B4C52" w:rsidRPr="001A0B66">
        <w:rPr>
          <w:rFonts w:ascii="FrankRuehl" w:hAnsi="FrankRuehl" w:cs="FrankRuehl"/>
          <w:sz w:val="28"/>
          <w:szCs w:val="28"/>
          <w:rtl/>
        </w:rPr>
        <w:t>חקור</w:t>
      </w:r>
      <w:r w:rsidR="009E7655" w:rsidRPr="001A0B66">
        <w:rPr>
          <w:rFonts w:ascii="FrankRuehl" w:hAnsi="FrankRuehl" w:cs="FrankRuehl"/>
          <w:sz w:val="28"/>
          <w:szCs w:val="28"/>
          <w:rtl/>
        </w:rPr>
        <w:t xml:space="preserve"> את חוקרי השב"כ</w:t>
      </w:r>
      <w:r w:rsidR="00757DB3" w:rsidRPr="001A0B66">
        <w:rPr>
          <w:rFonts w:ascii="FrankRuehl" w:hAnsi="FrankRuehl" w:cs="FrankRuehl"/>
          <w:sz w:val="28"/>
          <w:szCs w:val="28"/>
          <w:rtl/>
        </w:rPr>
        <w:t xml:space="preserve"> </w:t>
      </w:r>
      <w:r w:rsidR="007B4C52" w:rsidRPr="001A0B66">
        <w:rPr>
          <w:rFonts w:ascii="FrankRuehl" w:hAnsi="FrankRuehl" w:cs="FrankRuehl"/>
          <w:sz w:val="28"/>
          <w:szCs w:val="28"/>
          <w:rtl/>
        </w:rPr>
        <w:t>ו</w:t>
      </w:r>
      <w:r w:rsidR="00234E6E" w:rsidRPr="001A0B66">
        <w:rPr>
          <w:rFonts w:ascii="FrankRuehl" w:hAnsi="FrankRuehl" w:cs="FrankRuehl"/>
          <w:sz w:val="28"/>
          <w:szCs w:val="28"/>
          <w:rtl/>
        </w:rPr>
        <w:t>לה</w:t>
      </w:r>
      <w:r w:rsidR="007B4C52" w:rsidRPr="001A0B66">
        <w:rPr>
          <w:rFonts w:ascii="FrankRuehl" w:hAnsi="FrankRuehl" w:cs="FrankRuehl"/>
          <w:sz w:val="28"/>
          <w:szCs w:val="28"/>
          <w:rtl/>
        </w:rPr>
        <w:t>צ</w:t>
      </w:r>
      <w:r w:rsidR="00234E6E" w:rsidRPr="001A0B66">
        <w:rPr>
          <w:rFonts w:ascii="FrankRuehl" w:hAnsi="FrankRuehl" w:cs="FrankRuehl"/>
          <w:sz w:val="28"/>
          <w:szCs w:val="28"/>
          <w:rtl/>
        </w:rPr>
        <w:t>י</w:t>
      </w:r>
      <w:r w:rsidR="007B4C52" w:rsidRPr="001A0B66">
        <w:rPr>
          <w:rFonts w:ascii="FrankRuehl" w:hAnsi="FrankRuehl" w:cs="FrankRuehl"/>
          <w:sz w:val="28"/>
          <w:szCs w:val="28"/>
          <w:rtl/>
        </w:rPr>
        <w:t>ג</w:t>
      </w:r>
      <w:r w:rsidR="00234E6E" w:rsidRPr="001A0B66">
        <w:rPr>
          <w:rFonts w:ascii="FrankRuehl" w:hAnsi="FrankRuehl" w:cs="FrankRuehl"/>
          <w:sz w:val="28"/>
          <w:szCs w:val="28"/>
          <w:rtl/>
        </w:rPr>
        <w:t xml:space="preserve"> </w:t>
      </w:r>
      <w:r w:rsidR="009E7655" w:rsidRPr="001A0B66">
        <w:rPr>
          <w:rFonts w:ascii="FrankRuehl" w:hAnsi="FrankRuehl" w:cs="FrankRuehl"/>
          <w:sz w:val="28"/>
          <w:szCs w:val="28"/>
          <w:rtl/>
        </w:rPr>
        <w:t xml:space="preserve">שאלות ביחס </w:t>
      </w:r>
      <w:r w:rsidR="009D5943" w:rsidRPr="001A0B66">
        <w:rPr>
          <w:rFonts w:ascii="FrankRuehl" w:hAnsi="FrankRuehl" w:cs="FrankRuehl"/>
          <w:sz w:val="28"/>
          <w:szCs w:val="28"/>
          <w:rtl/>
        </w:rPr>
        <w:t>אליו</w:t>
      </w:r>
      <w:r w:rsidR="009E7655" w:rsidRPr="001A0B66">
        <w:rPr>
          <w:rFonts w:ascii="FrankRuehl" w:hAnsi="FrankRuehl" w:cs="FrankRuehl"/>
          <w:sz w:val="28"/>
          <w:szCs w:val="28"/>
          <w:rtl/>
        </w:rPr>
        <w:t xml:space="preserve">? </w:t>
      </w:r>
    </w:p>
    <w:p w14:paraId="4C7E88A0" w14:textId="77777777" w:rsidR="00E465E6" w:rsidRPr="001A0B66" w:rsidRDefault="00B36AE6"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הצעת החוק </w:t>
      </w:r>
      <w:r w:rsidR="00DA2BD0" w:rsidRPr="001A0B66">
        <w:rPr>
          <w:rFonts w:ascii="FrankRuehl" w:hAnsi="FrankRuehl" w:cs="FrankRuehl"/>
          <w:sz w:val="28"/>
          <w:szCs w:val="28"/>
          <w:rtl/>
        </w:rPr>
        <w:t xml:space="preserve">עוסקת </w:t>
      </w:r>
      <w:r w:rsidR="00F10DDB" w:rsidRPr="001A0B66">
        <w:rPr>
          <w:rFonts w:ascii="FrankRuehl" w:hAnsi="FrankRuehl" w:cs="FrankRuehl"/>
          <w:sz w:val="28"/>
          <w:szCs w:val="28"/>
          <w:rtl/>
        </w:rPr>
        <w:t>בעניין זה</w:t>
      </w:r>
      <w:r w:rsidR="00757DB3" w:rsidRPr="001A0B66">
        <w:rPr>
          <w:rFonts w:ascii="FrankRuehl" w:hAnsi="FrankRuehl" w:cs="FrankRuehl"/>
          <w:sz w:val="28"/>
          <w:szCs w:val="28"/>
          <w:rtl/>
        </w:rPr>
        <w:t>,</w:t>
      </w:r>
      <w:r w:rsidR="00DA2BD0" w:rsidRPr="001A0B66">
        <w:rPr>
          <w:rFonts w:ascii="FrankRuehl" w:hAnsi="FrankRuehl" w:cs="FrankRuehl"/>
          <w:sz w:val="28"/>
          <w:szCs w:val="28"/>
          <w:rtl/>
        </w:rPr>
        <w:t xml:space="preserve"> אך </w:t>
      </w:r>
      <w:r w:rsidR="00757DB3" w:rsidRPr="001A0B66">
        <w:rPr>
          <w:rFonts w:ascii="FrankRuehl" w:hAnsi="FrankRuehl" w:cs="FrankRuehl"/>
          <w:sz w:val="28"/>
          <w:szCs w:val="28"/>
          <w:rtl/>
        </w:rPr>
        <w:t xml:space="preserve">עושה </w:t>
      </w:r>
      <w:r w:rsidR="00F10DDB" w:rsidRPr="001A0B66">
        <w:rPr>
          <w:rFonts w:ascii="FrankRuehl" w:hAnsi="FrankRuehl" w:cs="FrankRuehl"/>
          <w:sz w:val="28"/>
          <w:szCs w:val="28"/>
          <w:rtl/>
        </w:rPr>
        <w:t xml:space="preserve">זאת </w:t>
      </w:r>
      <w:r w:rsidR="00DA2BD0" w:rsidRPr="001A0B66">
        <w:rPr>
          <w:rFonts w:ascii="FrankRuehl" w:hAnsi="FrankRuehl" w:cs="FrankRuehl"/>
          <w:sz w:val="28"/>
          <w:szCs w:val="28"/>
          <w:rtl/>
        </w:rPr>
        <w:t xml:space="preserve">באופן לקוני למדי. </w:t>
      </w:r>
      <w:r w:rsidR="00F10DDB" w:rsidRPr="001A0B66">
        <w:rPr>
          <w:rFonts w:ascii="FrankRuehl" w:hAnsi="FrankRuehl" w:cs="FrankRuehl"/>
          <w:sz w:val="28"/>
          <w:szCs w:val="28"/>
          <w:rtl/>
        </w:rPr>
        <w:t>ב</w:t>
      </w:r>
      <w:r w:rsidR="00F4236F" w:rsidRPr="001A0B66">
        <w:rPr>
          <w:rFonts w:ascii="FrankRuehl" w:hAnsi="FrankRuehl" w:cs="FrankRuehl"/>
          <w:sz w:val="28"/>
          <w:szCs w:val="28"/>
          <w:rtl/>
        </w:rPr>
        <w:t xml:space="preserve">סעיף 4(ז) </w:t>
      </w:r>
      <w:r w:rsidR="00F10DDB" w:rsidRPr="001A0B66">
        <w:rPr>
          <w:rFonts w:ascii="FrankRuehl" w:hAnsi="FrankRuehl" w:cs="FrankRuehl"/>
          <w:sz w:val="28"/>
          <w:szCs w:val="28"/>
          <w:rtl/>
        </w:rPr>
        <w:t>להצעה נכתב</w:t>
      </w:r>
      <w:r w:rsidR="00DA2BD0" w:rsidRPr="001A0B66">
        <w:rPr>
          <w:rFonts w:ascii="FrankRuehl" w:hAnsi="FrankRuehl" w:cs="FrankRuehl"/>
          <w:sz w:val="28"/>
          <w:szCs w:val="28"/>
          <w:rtl/>
        </w:rPr>
        <w:t xml:space="preserve"> </w:t>
      </w:r>
      <w:r w:rsidR="00601598" w:rsidRPr="001A0B66">
        <w:rPr>
          <w:rFonts w:ascii="FrankRuehl" w:hAnsi="FrankRuehl" w:cs="FrankRuehl"/>
          <w:sz w:val="28"/>
          <w:szCs w:val="28"/>
          <w:rtl/>
        </w:rPr>
        <w:t xml:space="preserve">כי </w:t>
      </w:r>
      <w:r w:rsidR="00417973" w:rsidRPr="001A0B66">
        <w:rPr>
          <w:rFonts w:ascii="FrankRuehl" w:hAnsi="FrankRuehl" w:cs="FrankRuehl"/>
          <w:sz w:val="28"/>
          <w:szCs w:val="28"/>
          <w:rtl/>
        </w:rPr>
        <w:t>עורך</w:t>
      </w:r>
      <w:r w:rsidR="00F4236F" w:rsidRPr="001A0B66">
        <w:rPr>
          <w:rFonts w:ascii="FrankRuehl" w:hAnsi="FrankRuehl" w:cs="FrankRuehl"/>
          <w:sz w:val="28"/>
          <w:szCs w:val="28"/>
          <w:rtl/>
        </w:rPr>
        <w:t xml:space="preserve"> </w:t>
      </w:r>
      <w:r w:rsidR="00417973" w:rsidRPr="001A0B66">
        <w:rPr>
          <w:rFonts w:ascii="FrankRuehl" w:hAnsi="FrankRuehl" w:cs="FrankRuehl"/>
          <w:sz w:val="28"/>
          <w:szCs w:val="28"/>
          <w:rtl/>
        </w:rPr>
        <w:t>הדין</w:t>
      </w:r>
      <w:r w:rsidR="006B6BFE" w:rsidRPr="001A0B66">
        <w:rPr>
          <w:rFonts w:ascii="FrankRuehl" w:hAnsi="FrankRuehl" w:cs="FrankRuehl"/>
          <w:sz w:val="28"/>
          <w:szCs w:val="28"/>
          <w:rtl/>
        </w:rPr>
        <w:t xml:space="preserve"> </w:t>
      </w:r>
      <w:r w:rsidR="00417973" w:rsidRPr="001A0B66">
        <w:rPr>
          <w:rFonts w:ascii="FrankRuehl" w:hAnsi="FrankRuehl" w:cs="FrankRuehl"/>
          <w:sz w:val="28"/>
          <w:szCs w:val="28"/>
          <w:rtl/>
        </w:rPr>
        <w:t xml:space="preserve">המיוחד </w:t>
      </w:r>
      <w:r w:rsidR="00DA2BD0" w:rsidRPr="001A0B66">
        <w:rPr>
          <w:rFonts w:ascii="FrankRuehl" w:hAnsi="FrankRuehl" w:cs="FrankRuehl"/>
          <w:sz w:val="28"/>
          <w:szCs w:val="28"/>
          <w:rtl/>
        </w:rPr>
        <w:t xml:space="preserve">יכול </w:t>
      </w:r>
      <w:r w:rsidR="00417973" w:rsidRPr="001A0B66">
        <w:rPr>
          <w:rFonts w:ascii="FrankRuehl" w:hAnsi="FrankRuehl" w:cs="FrankRuehl"/>
          <w:sz w:val="28"/>
          <w:szCs w:val="28"/>
          <w:rtl/>
        </w:rPr>
        <w:t>לבקש מ</w:t>
      </w:r>
      <w:r w:rsidR="00DA2BD0" w:rsidRPr="001A0B66">
        <w:rPr>
          <w:rFonts w:ascii="FrankRuehl" w:hAnsi="FrankRuehl" w:cs="FrankRuehl"/>
          <w:sz w:val="28"/>
          <w:szCs w:val="28"/>
          <w:rtl/>
        </w:rPr>
        <w:t>בית המשפט</w:t>
      </w:r>
      <w:r w:rsidR="00417973" w:rsidRPr="001A0B66">
        <w:rPr>
          <w:rFonts w:ascii="FrankRuehl" w:hAnsi="FrankRuehl" w:cs="FrankRuehl"/>
          <w:sz w:val="28"/>
          <w:szCs w:val="28"/>
          <w:rtl/>
        </w:rPr>
        <w:t xml:space="preserve"> להזמין "בעל תפקיד הקשור למידע החסוי או להליך החסוי". </w:t>
      </w:r>
      <w:r w:rsidR="00DA2BD0" w:rsidRPr="001A0B66">
        <w:rPr>
          <w:rFonts w:ascii="FrankRuehl" w:hAnsi="FrankRuehl" w:cs="FrankRuehl"/>
          <w:sz w:val="28"/>
          <w:szCs w:val="28"/>
          <w:rtl/>
        </w:rPr>
        <w:t xml:space="preserve">אנו בעד הפיכת </w:t>
      </w:r>
      <w:r w:rsidR="001A6E6A" w:rsidRPr="001A0B66">
        <w:rPr>
          <w:rFonts w:ascii="FrankRuehl" w:hAnsi="FrankRuehl" w:cs="FrankRuehl"/>
          <w:sz w:val="28"/>
          <w:szCs w:val="28"/>
          <w:rtl/>
        </w:rPr>
        <w:t>ברירת המחדל</w:t>
      </w:r>
      <w:r w:rsidR="00234E6E" w:rsidRPr="001A0B66">
        <w:rPr>
          <w:rFonts w:ascii="FrankRuehl" w:hAnsi="FrankRuehl" w:cs="FrankRuehl"/>
          <w:sz w:val="28"/>
          <w:szCs w:val="28"/>
          <w:rtl/>
        </w:rPr>
        <w:t xml:space="preserve"> בהקשר זה</w:t>
      </w:r>
      <w:r w:rsidR="001A6E6A" w:rsidRPr="001A0B66">
        <w:rPr>
          <w:rFonts w:ascii="FrankRuehl" w:hAnsi="FrankRuehl" w:cs="FrankRuehl"/>
          <w:sz w:val="28"/>
          <w:szCs w:val="28"/>
          <w:rtl/>
        </w:rPr>
        <w:t>: חוקר</w:t>
      </w:r>
      <w:r w:rsidR="00F10DDB" w:rsidRPr="001A0B66">
        <w:rPr>
          <w:rFonts w:ascii="FrankRuehl" w:hAnsi="FrankRuehl" w:cs="FrankRuehl"/>
          <w:sz w:val="28"/>
          <w:szCs w:val="28"/>
          <w:rtl/>
        </w:rPr>
        <w:t xml:space="preserve"> השב"כ</w:t>
      </w:r>
      <w:r w:rsidR="001A6E6A" w:rsidRPr="001A0B66">
        <w:rPr>
          <w:rFonts w:ascii="FrankRuehl" w:hAnsi="FrankRuehl" w:cs="FrankRuehl"/>
          <w:sz w:val="28"/>
          <w:szCs w:val="28"/>
          <w:rtl/>
        </w:rPr>
        <w:t xml:space="preserve"> או חוקרי השב"כ המעורבים </w:t>
      </w:r>
      <w:r w:rsidR="00F10DDB" w:rsidRPr="001A0B66">
        <w:rPr>
          <w:rFonts w:ascii="FrankRuehl" w:hAnsi="FrankRuehl" w:cs="FrankRuehl"/>
          <w:sz w:val="28"/>
          <w:szCs w:val="28"/>
          <w:rtl/>
        </w:rPr>
        <w:t xml:space="preserve">בחקירתו </w:t>
      </w:r>
      <w:r w:rsidR="001A6E6A" w:rsidRPr="001A0B66">
        <w:rPr>
          <w:rFonts w:ascii="FrankRuehl" w:hAnsi="FrankRuehl" w:cs="FrankRuehl"/>
          <w:sz w:val="28"/>
          <w:szCs w:val="28"/>
          <w:rtl/>
        </w:rPr>
        <w:t>של האדם צריכים ללוות את הליך הביקורת השיפוטית</w:t>
      </w:r>
      <w:r w:rsidR="00234E6E" w:rsidRPr="001A0B66">
        <w:rPr>
          <w:rFonts w:ascii="FrankRuehl" w:hAnsi="FrankRuehl" w:cs="FrankRuehl"/>
          <w:sz w:val="28"/>
          <w:szCs w:val="28"/>
          <w:rtl/>
        </w:rPr>
        <w:t xml:space="preserve"> </w:t>
      </w:r>
      <w:r w:rsidR="00F10DDB" w:rsidRPr="001A0B66">
        <w:rPr>
          <w:rFonts w:ascii="FrankRuehl" w:hAnsi="FrankRuehl" w:cs="FrankRuehl"/>
          <w:sz w:val="28"/>
          <w:szCs w:val="28"/>
          <w:rtl/>
        </w:rPr>
        <w:t>ש</w:t>
      </w:r>
      <w:r w:rsidR="00234E6E" w:rsidRPr="001A0B66">
        <w:rPr>
          <w:rFonts w:ascii="FrankRuehl" w:hAnsi="FrankRuehl" w:cs="FrankRuehl"/>
          <w:sz w:val="28"/>
          <w:szCs w:val="28"/>
          <w:rtl/>
        </w:rPr>
        <w:t>ל הצו הנשען על ראיות חסויות</w:t>
      </w:r>
      <w:r w:rsidR="001A6E6A" w:rsidRPr="001A0B66">
        <w:rPr>
          <w:rFonts w:ascii="FrankRuehl" w:hAnsi="FrankRuehl" w:cs="FrankRuehl"/>
          <w:sz w:val="28"/>
          <w:szCs w:val="28"/>
          <w:rtl/>
        </w:rPr>
        <w:t xml:space="preserve"> אלא אם כן </w:t>
      </w:r>
      <w:r w:rsidR="009E7655" w:rsidRPr="001A0B66">
        <w:rPr>
          <w:rFonts w:ascii="FrankRuehl" w:hAnsi="FrankRuehl" w:cs="FrankRuehl"/>
          <w:sz w:val="28"/>
          <w:szCs w:val="28"/>
          <w:rtl/>
        </w:rPr>
        <w:t>פטר</w:t>
      </w:r>
      <w:r w:rsidR="00DA2BD0" w:rsidRPr="001A0B66">
        <w:rPr>
          <w:rFonts w:ascii="FrankRuehl" w:hAnsi="FrankRuehl" w:cs="FrankRuehl"/>
          <w:sz w:val="28"/>
          <w:szCs w:val="28"/>
          <w:rtl/>
        </w:rPr>
        <w:t xml:space="preserve"> אותם</w:t>
      </w:r>
      <w:r w:rsidR="00DB7EC2" w:rsidRPr="001A0B66">
        <w:rPr>
          <w:rFonts w:ascii="FrankRuehl" w:hAnsi="FrankRuehl" w:cs="FrankRuehl"/>
          <w:sz w:val="28"/>
          <w:szCs w:val="28"/>
          <w:rtl/>
        </w:rPr>
        <w:t xml:space="preserve"> </w:t>
      </w:r>
      <w:r w:rsidR="00F10DDB" w:rsidRPr="001A0B66">
        <w:rPr>
          <w:rFonts w:ascii="FrankRuehl" w:hAnsi="FrankRuehl" w:cs="FrankRuehl"/>
          <w:sz w:val="28"/>
          <w:szCs w:val="28"/>
          <w:rtl/>
        </w:rPr>
        <w:t xml:space="preserve">בית המשפט </w:t>
      </w:r>
      <w:r w:rsidR="00DB7EC2" w:rsidRPr="001A0B66">
        <w:rPr>
          <w:rFonts w:ascii="FrankRuehl" w:hAnsi="FrankRuehl" w:cs="FrankRuehl"/>
          <w:sz w:val="28"/>
          <w:szCs w:val="28"/>
          <w:rtl/>
        </w:rPr>
        <w:t>מכך</w:t>
      </w:r>
      <w:r w:rsidR="001A6E6A" w:rsidRPr="001A0B66">
        <w:rPr>
          <w:rFonts w:ascii="FrankRuehl" w:hAnsi="FrankRuehl" w:cs="FrankRuehl"/>
          <w:sz w:val="28"/>
          <w:szCs w:val="28"/>
          <w:rtl/>
        </w:rPr>
        <w:t>, מטעמים מיוחדים</w:t>
      </w:r>
      <w:r w:rsidR="00DA2BD0" w:rsidRPr="001A0B66">
        <w:rPr>
          <w:rFonts w:ascii="FrankRuehl" w:hAnsi="FrankRuehl" w:cs="FrankRuehl"/>
          <w:sz w:val="28"/>
          <w:szCs w:val="28"/>
          <w:rtl/>
        </w:rPr>
        <w:t xml:space="preserve">. </w:t>
      </w:r>
      <w:r w:rsidR="00E465E6" w:rsidRPr="001A0B66">
        <w:rPr>
          <w:rFonts w:ascii="FrankRuehl" w:hAnsi="FrankRuehl" w:cs="FrankRuehl"/>
          <w:sz w:val="28"/>
          <w:szCs w:val="28"/>
          <w:rtl/>
        </w:rPr>
        <w:t>חקירת חוקר או חוקרי השב"כ חשובה, גם משום שמודעות לחקירה הצפויה תשפיע לטובה על מכלול התנהלות השב"כ ביחס להפעלת סמכויות החירום – סוג של "צל מלווה" שישפיע על הפעלת סמכות</w:t>
      </w:r>
      <w:r w:rsidR="000B45FE" w:rsidRPr="001A0B66">
        <w:rPr>
          <w:rFonts w:ascii="FrankRuehl" w:hAnsi="FrankRuehl" w:cs="FrankRuehl"/>
          <w:sz w:val="28"/>
          <w:szCs w:val="28"/>
          <w:rtl/>
        </w:rPr>
        <w:t xml:space="preserve"> החירום</w:t>
      </w:r>
      <w:r w:rsidR="00BE79E4" w:rsidRPr="001A0B66">
        <w:rPr>
          <w:rFonts w:ascii="FrankRuehl" w:hAnsi="FrankRuehl" w:cs="FrankRuehl"/>
          <w:sz w:val="28"/>
          <w:szCs w:val="28"/>
          <w:rtl/>
        </w:rPr>
        <w:t xml:space="preserve">. הוא ישפיע על </w:t>
      </w:r>
      <w:r w:rsidR="000B45FE" w:rsidRPr="001A0B66">
        <w:rPr>
          <w:rFonts w:ascii="FrankRuehl" w:hAnsi="FrankRuehl" w:cs="FrankRuehl"/>
          <w:sz w:val="28"/>
          <w:szCs w:val="28"/>
          <w:rtl/>
        </w:rPr>
        <w:t>הסף הנדרש ביחס למהימנות (מידת הביסוס) של החשד</w:t>
      </w:r>
      <w:r w:rsidR="00E465E6" w:rsidRPr="001A0B66">
        <w:rPr>
          <w:rFonts w:ascii="FrankRuehl" w:hAnsi="FrankRuehl" w:cs="FrankRuehl"/>
          <w:sz w:val="28"/>
          <w:szCs w:val="28"/>
          <w:rtl/>
        </w:rPr>
        <w:t xml:space="preserve">, </w:t>
      </w:r>
      <w:r w:rsidR="00BE79E4" w:rsidRPr="001A0B66">
        <w:rPr>
          <w:rFonts w:ascii="FrankRuehl" w:hAnsi="FrankRuehl" w:cs="FrankRuehl"/>
          <w:sz w:val="28"/>
          <w:szCs w:val="28"/>
          <w:rtl/>
        </w:rPr>
        <w:t xml:space="preserve">על </w:t>
      </w:r>
      <w:r w:rsidR="000B45FE" w:rsidRPr="001A0B66">
        <w:rPr>
          <w:rFonts w:ascii="FrankRuehl" w:hAnsi="FrankRuehl" w:cs="FrankRuehl"/>
          <w:sz w:val="28"/>
          <w:szCs w:val="28"/>
          <w:rtl/>
        </w:rPr>
        <w:t>סף הסיכון הנדרש ביחס ל</w:t>
      </w:r>
      <w:r w:rsidR="002A125E" w:rsidRPr="001A0B66">
        <w:rPr>
          <w:rFonts w:ascii="FrankRuehl" w:hAnsi="FrankRuehl" w:cs="FrankRuehl"/>
          <w:sz w:val="28"/>
          <w:szCs w:val="28"/>
          <w:rtl/>
        </w:rPr>
        <w:t>התממשות ה</w:t>
      </w:r>
      <w:r w:rsidR="000B45FE" w:rsidRPr="001A0B66">
        <w:rPr>
          <w:rFonts w:ascii="FrankRuehl" w:hAnsi="FrankRuehl" w:cs="FrankRuehl"/>
          <w:sz w:val="28"/>
          <w:szCs w:val="28"/>
          <w:rtl/>
        </w:rPr>
        <w:t xml:space="preserve">חשד, </w:t>
      </w:r>
      <w:r w:rsidR="00BE79E4" w:rsidRPr="001A0B66">
        <w:rPr>
          <w:rFonts w:ascii="FrankRuehl" w:hAnsi="FrankRuehl" w:cs="FrankRuehl"/>
          <w:sz w:val="28"/>
          <w:szCs w:val="28"/>
          <w:rtl/>
        </w:rPr>
        <w:t xml:space="preserve">על </w:t>
      </w:r>
      <w:r w:rsidR="00E465E6" w:rsidRPr="001A0B66">
        <w:rPr>
          <w:rFonts w:ascii="FrankRuehl" w:hAnsi="FrankRuehl" w:cs="FrankRuehl"/>
          <w:sz w:val="28"/>
          <w:szCs w:val="28"/>
          <w:rtl/>
        </w:rPr>
        <w:t>ניסוח הפרפרזה</w:t>
      </w:r>
      <w:r w:rsidR="000B45FE" w:rsidRPr="001A0B66">
        <w:rPr>
          <w:rFonts w:ascii="FrankRuehl" w:hAnsi="FrankRuehl" w:cs="FrankRuehl"/>
          <w:sz w:val="28"/>
          <w:szCs w:val="28"/>
          <w:rtl/>
        </w:rPr>
        <w:t xml:space="preserve"> שתומצא לעציר</w:t>
      </w:r>
      <w:r w:rsidR="00E465E6" w:rsidRPr="001A0B66">
        <w:rPr>
          <w:rFonts w:ascii="FrankRuehl" w:hAnsi="FrankRuehl" w:cs="FrankRuehl"/>
          <w:sz w:val="28"/>
          <w:szCs w:val="28"/>
          <w:rtl/>
        </w:rPr>
        <w:t xml:space="preserve">, </w:t>
      </w:r>
      <w:r w:rsidR="00BE79E4" w:rsidRPr="001A0B66">
        <w:rPr>
          <w:rFonts w:ascii="FrankRuehl" w:hAnsi="FrankRuehl" w:cs="FrankRuehl"/>
          <w:sz w:val="28"/>
          <w:szCs w:val="28"/>
          <w:rtl/>
        </w:rPr>
        <w:t xml:space="preserve">על </w:t>
      </w:r>
      <w:r w:rsidR="00E465E6" w:rsidRPr="001A0B66">
        <w:rPr>
          <w:rFonts w:ascii="FrankRuehl" w:hAnsi="FrankRuehl" w:cs="FrankRuehl"/>
          <w:sz w:val="28"/>
          <w:szCs w:val="28"/>
          <w:rtl/>
        </w:rPr>
        <w:t xml:space="preserve">ההחלטה </w:t>
      </w:r>
      <w:r w:rsidR="000B45FE" w:rsidRPr="001A0B66">
        <w:rPr>
          <w:rFonts w:ascii="FrankRuehl" w:hAnsi="FrankRuehl" w:cs="FrankRuehl"/>
          <w:sz w:val="28"/>
          <w:szCs w:val="28"/>
          <w:rtl/>
        </w:rPr>
        <w:t xml:space="preserve">ביחס להיקף חסיונן של הראיות שעליהן מתבסס השב"כ </w:t>
      </w:r>
      <w:r w:rsidR="00E465E6" w:rsidRPr="001A0B66">
        <w:rPr>
          <w:rFonts w:ascii="FrankRuehl" w:hAnsi="FrankRuehl" w:cs="FrankRuehl"/>
          <w:sz w:val="28"/>
          <w:szCs w:val="28"/>
          <w:rtl/>
        </w:rPr>
        <w:t xml:space="preserve">ועוד. </w:t>
      </w:r>
    </w:p>
    <w:p w14:paraId="2D4C4B53" w14:textId="77777777" w:rsidR="00AD2576" w:rsidRPr="001A0B66" w:rsidRDefault="009E7655" w:rsidP="00F307FB">
      <w:pPr>
        <w:pStyle w:val="a0"/>
        <w:spacing w:line="276" w:lineRule="auto"/>
        <w:rPr>
          <w:rFonts w:ascii="FrankRuehl" w:hAnsi="FrankRuehl" w:cs="FrankRuehl"/>
          <w:sz w:val="28"/>
          <w:szCs w:val="28"/>
          <w:rtl/>
        </w:rPr>
      </w:pPr>
      <w:r w:rsidRPr="001A0B66">
        <w:rPr>
          <w:rFonts w:ascii="FrankRuehl" w:hAnsi="FrankRuehl" w:cs="FrankRuehl"/>
          <w:b/>
          <w:bCs/>
          <w:sz w:val="28"/>
          <w:szCs w:val="28"/>
          <w:rtl/>
        </w:rPr>
        <w:t xml:space="preserve">מה באשר </w:t>
      </w:r>
      <w:r w:rsidR="00AD2576" w:rsidRPr="001A0B66">
        <w:rPr>
          <w:rFonts w:ascii="FrankRuehl" w:hAnsi="FrankRuehl" w:cs="FrankRuehl"/>
          <w:b/>
          <w:bCs/>
          <w:sz w:val="28"/>
          <w:szCs w:val="28"/>
          <w:rtl/>
        </w:rPr>
        <w:t>לתרגום</w:t>
      </w:r>
      <w:r w:rsidRPr="001A0B66">
        <w:rPr>
          <w:rFonts w:ascii="FrankRuehl" w:hAnsi="FrankRuehl" w:cs="FrankRuehl"/>
          <w:b/>
          <w:bCs/>
          <w:sz w:val="28"/>
          <w:szCs w:val="28"/>
          <w:rtl/>
        </w:rPr>
        <w:t>?</w:t>
      </w:r>
      <w:r w:rsidRPr="001A0B66">
        <w:rPr>
          <w:rFonts w:ascii="FrankRuehl" w:hAnsi="FrankRuehl" w:cs="FrankRuehl"/>
          <w:sz w:val="28"/>
          <w:szCs w:val="28"/>
          <w:rtl/>
        </w:rPr>
        <w:t xml:space="preserve"> </w:t>
      </w:r>
      <w:r w:rsidR="00463C7E" w:rsidRPr="001A0B66">
        <w:rPr>
          <w:rFonts w:ascii="FrankRuehl" w:hAnsi="FrankRuehl" w:cs="FrankRuehl"/>
          <w:sz w:val="28"/>
          <w:szCs w:val="28"/>
          <w:rtl/>
        </w:rPr>
        <w:t xml:space="preserve">חלק </w:t>
      </w:r>
      <w:r w:rsidR="00F10DDB" w:rsidRPr="001A0B66">
        <w:rPr>
          <w:rFonts w:ascii="FrankRuehl" w:hAnsi="FrankRuehl" w:cs="FrankRuehl"/>
          <w:sz w:val="28"/>
          <w:szCs w:val="28"/>
          <w:rtl/>
        </w:rPr>
        <w:t xml:space="preserve">ניכר </w:t>
      </w:r>
      <w:r w:rsidR="00463C7E" w:rsidRPr="001A0B66">
        <w:rPr>
          <w:rFonts w:ascii="FrankRuehl" w:hAnsi="FrankRuehl" w:cs="FrankRuehl"/>
          <w:sz w:val="28"/>
          <w:szCs w:val="28"/>
          <w:rtl/>
        </w:rPr>
        <w:t xml:space="preserve">מהראיות החסויות </w:t>
      </w:r>
      <w:r w:rsidR="009D08E5" w:rsidRPr="001A0B66">
        <w:rPr>
          <w:rFonts w:ascii="FrankRuehl" w:hAnsi="FrankRuehl" w:cs="FrankRuehl"/>
          <w:sz w:val="28"/>
          <w:szCs w:val="28"/>
          <w:rtl/>
        </w:rPr>
        <w:t>(</w:t>
      </w:r>
      <w:r w:rsidR="00463C7E" w:rsidRPr="001A0B66">
        <w:rPr>
          <w:rFonts w:ascii="FrankRuehl" w:hAnsi="FrankRuehl" w:cs="FrankRuehl"/>
          <w:sz w:val="28"/>
          <w:szCs w:val="28"/>
          <w:rtl/>
        </w:rPr>
        <w:t>כתובות או מוקלטות</w:t>
      </w:r>
      <w:r w:rsidR="009D08E5" w:rsidRPr="001A0B66">
        <w:rPr>
          <w:rFonts w:ascii="FrankRuehl" w:hAnsi="FrankRuehl" w:cs="FrankRuehl"/>
          <w:sz w:val="28"/>
          <w:szCs w:val="28"/>
          <w:rtl/>
        </w:rPr>
        <w:t>)</w:t>
      </w:r>
      <w:r w:rsidR="00DD4C1B" w:rsidRPr="001A0B66">
        <w:rPr>
          <w:rFonts w:ascii="FrankRuehl" w:hAnsi="FrankRuehl" w:cs="FrankRuehl"/>
          <w:sz w:val="28"/>
          <w:szCs w:val="28"/>
          <w:rtl/>
        </w:rPr>
        <w:t xml:space="preserve"> </w:t>
      </w:r>
      <w:r w:rsidRPr="001A0B66">
        <w:rPr>
          <w:rFonts w:ascii="FrankRuehl" w:hAnsi="FrankRuehl" w:cs="FrankRuehl"/>
          <w:sz w:val="28"/>
          <w:szCs w:val="28"/>
          <w:rtl/>
        </w:rPr>
        <w:t>ב</w:t>
      </w:r>
      <w:r w:rsidR="009D08E5" w:rsidRPr="001A0B66">
        <w:rPr>
          <w:rFonts w:ascii="FrankRuehl" w:hAnsi="FrankRuehl" w:cs="FrankRuehl"/>
          <w:sz w:val="28"/>
          <w:szCs w:val="28"/>
          <w:rtl/>
        </w:rPr>
        <w:t xml:space="preserve">יסוד </w:t>
      </w:r>
      <w:r w:rsidRPr="001A0B66">
        <w:rPr>
          <w:rFonts w:ascii="FrankRuehl" w:hAnsi="FrankRuehl" w:cs="FrankRuehl"/>
          <w:sz w:val="28"/>
          <w:szCs w:val="28"/>
          <w:rtl/>
        </w:rPr>
        <w:t xml:space="preserve">חלק גדול </w:t>
      </w:r>
      <w:r w:rsidR="009D582B" w:rsidRPr="001A0B66">
        <w:rPr>
          <w:rFonts w:ascii="FrankRuehl" w:hAnsi="FrankRuehl" w:cs="FrankRuehl"/>
          <w:sz w:val="28"/>
          <w:szCs w:val="28"/>
          <w:rtl/>
        </w:rPr>
        <w:t>מא</w:t>
      </w:r>
      <w:r w:rsidR="00704948" w:rsidRPr="001A0B66">
        <w:rPr>
          <w:rFonts w:ascii="FrankRuehl" w:hAnsi="FrankRuehl" w:cs="FrankRuehl"/>
          <w:sz w:val="28"/>
          <w:szCs w:val="28"/>
          <w:rtl/>
        </w:rPr>
        <w:t>ו</w:t>
      </w:r>
      <w:r w:rsidR="009D582B" w:rsidRPr="001A0B66">
        <w:rPr>
          <w:rFonts w:ascii="FrankRuehl" w:hAnsi="FrankRuehl" w:cs="FrankRuehl"/>
          <w:sz w:val="28"/>
          <w:szCs w:val="28"/>
          <w:rtl/>
        </w:rPr>
        <w:t xml:space="preserve">ד </w:t>
      </w:r>
      <w:r w:rsidRPr="001A0B66">
        <w:rPr>
          <w:rFonts w:ascii="FrankRuehl" w:hAnsi="FrankRuehl" w:cs="FrankRuehl"/>
          <w:sz w:val="28"/>
          <w:szCs w:val="28"/>
          <w:rtl/>
        </w:rPr>
        <w:t>מהצווים הניתנים מכוח סמכויות שעת חירום</w:t>
      </w:r>
      <w:r w:rsidR="00656CAA" w:rsidRPr="001A0B66">
        <w:rPr>
          <w:rFonts w:ascii="FrankRuehl" w:hAnsi="FrankRuehl" w:cs="FrankRuehl"/>
          <w:sz w:val="28"/>
          <w:szCs w:val="28"/>
          <w:rtl/>
        </w:rPr>
        <w:t xml:space="preserve"> </w:t>
      </w:r>
      <w:r w:rsidR="009D582B" w:rsidRPr="001A0B66">
        <w:rPr>
          <w:rFonts w:ascii="FrankRuehl" w:hAnsi="FrankRuehl" w:cs="FrankRuehl"/>
          <w:sz w:val="28"/>
          <w:szCs w:val="28"/>
          <w:rtl/>
        </w:rPr>
        <w:t xml:space="preserve">הן </w:t>
      </w:r>
      <w:r w:rsidR="00463C7E" w:rsidRPr="001A0B66">
        <w:rPr>
          <w:rFonts w:ascii="FrankRuehl" w:hAnsi="FrankRuehl" w:cs="FrankRuehl"/>
          <w:sz w:val="28"/>
          <w:szCs w:val="28"/>
          <w:rtl/>
        </w:rPr>
        <w:t xml:space="preserve">בשפה הערבית. </w:t>
      </w:r>
      <w:r w:rsidR="00DD4C1B" w:rsidRPr="001A0B66">
        <w:rPr>
          <w:rFonts w:ascii="FrankRuehl" w:hAnsi="FrankRuehl" w:cs="FrankRuehl"/>
          <w:sz w:val="28"/>
          <w:szCs w:val="28"/>
          <w:rtl/>
        </w:rPr>
        <w:t>זו שפה שאינה שגורה על לשו</w:t>
      </w:r>
      <w:r w:rsidR="009D08E5" w:rsidRPr="001A0B66">
        <w:rPr>
          <w:rFonts w:ascii="FrankRuehl" w:hAnsi="FrankRuehl" w:cs="FrankRuehl"/>
          <w:sz w:val="28"/>
          <w:szCs w:val="28"/>
          <w:rtl/>
        </w:rPr>
        <w:t>ן</w:t>
      </w:r>
      <w:r w:rsidR="00DD4C1B" w:rsidRPr="001A0B66">
        <w:rPr>
          <w:rFonts w:ascii="FrankRuehl" w:hAnsi="FrankRuehl" w:cs="FrankRuehl"/>
          <w:sz w:val="28"/>
          <w:szCs w:val="28"/>
          <w:rtl/>
        </w:rPr>
        <w:t xml:space="preserve"> רוב רובם של השופטים </w:t>
      </w:r>
      <w:r w:rsidR="00F10DDB" w:rsidRPr="001A0B66">
        <w:rPr>
          <w:rFonts w:ascii="FrankRuehl" w:hAnsi="FrankRuehl" w:cs="FrankRuehl"/>
          <w:sz w:val="28"/>
          <w:szCs w:val="28"/>
          <w:rtl/>
        </w:rPr>
        <w:t>ו</w:t>
      </w:r>
      <w:r w:rsidR="00234E6E" w:rsidRPr="001A0B66">
        <w:rPr>
          <w:rFonts w:ascii="FrankRuehl" w:hAnsi="FrankRuehl" w:cs="FrankRuehl"/>
          <w:sz w:val="28"/>
          <w:szCs w:val="28"/>
          <w:rtl/>
        </w:rPr>
        <w:t xml:space="preserve">רוב רובם של </w:t>
      </w:r>
      <w:r w:rsidR="00DD4C1B" w:rsidRPr="001A0B66">
        <w:rPr>
          <w:rFonts w:ascii="FrankRuehl" w:hAnsi="FrankRuehl" w:cs="FrankRuehl"/>
          <w:sz w:val="28"/>
          <w:szCs w:val="28"/>
          <w:rtl/>
        </w:rPr>
        <w:t>פרקליטי המדינה, ושאלה בעניינה</w:t>
      </w:r>
      <w:r w:rsidR="00F10DDB" w:rsidRPr="001A0B66">
        <w:rPr>
          <w:rFonts w:ascii="FrankRuehl" w:hAnsi="FrankRuehl" w:cs="FrankRuehl"/>
          <w:sz w:val="28"/>
          <w:szCs w:val="28"/>
          <w:rtl/>
        </w:rPr>
        <w:t xml:space="preserve"> מתעוררת</w:t>
      </w:r>
      <w:r w:rsidR="00DD4C1B" w:rsidRPr="001A0B66">
        <w:rPr>
          <w:rFonts w:ascii="FrankRuehl" w:hAnsi="FrankRuehl" w:cs="FrankRuehl"/>
          <w:sz w:val="28"/>
          <w:szCs w:val="28"/>
          <w:rtl/>
        </w:rPr>
        <w:t xml:space="preserve"> גם ביחס לעורכי הדין המיוחדים עצמם. </w:t>
      </w:r>
      <w:r w:rsidR="00B21745" w:rsidRPr="001A0B66">
        <w:rPr>
          <w:rFonts w:ascii="FrankRuehl" w:hAnsi="FrankRuehl" w:cs="FrankRuehl"/>
          <w:sz w:val="28"/>
          <w:szCs w:val="28"/>
          <w:rtl/>
        </w:rPr>
        <w:t>א</w:t>
      </w:r>
      <w:r w:rsidR="000867B6" w:rsidRPr="001A0B66">
        <w:rPr>
          <w:rFonts w:ascii="FrankRuehl" w:hAnsi="FrankRuehl" w:cs="FrankRuehl"/>
          <w:sz w:val="28"/>
          <w:szCs w:val="28"/>
          <w:rtl/>
        </w:rPr>
        <w:t>ו</w:t>
      </w:r>
      <w:r w:rsidR="00B21745" w:rsidRPr="001A0B66">
        <w:rPr>
          <w:rFonts w:ascii="FrankRuehl" w:hAnsi="FrankRuehl" w:cs="FrankRuehl"/>
          <w:sz w:val="28"/>
          <w:szCs w:val="28"/>
          <w:rtl/>
        </w:rPr>
        <w:t xml:space="preserve">מנם </w:t>
      </w:r>
      <w:r w:rsidR="00AF1B74" w:rsidRPr="001A0B66">
        <w:rPr>
          <w:rFonts w:ascii="FrankRuehl" w:hAnsi="FrankRuehl" w:cs="FrankRuehl"/>
          <w:sz w:val="28"/>
          <w:szCs w:val="28"/>
          <w:rtl/>
        </w:rPr>
        <w:t xml:space="preserve">צריך להניח כי </w:t>
      </w:r>
      <w:r w:rsidR="00F10DDB" w:rsidRPr="001A0B66">
        <w:rPr>
          <w:rFonts w:ascii="FrankRuehl" w:hAnsi="FrankRuehl" w:cs="FrankRuehl"/>
          <w:sz w:val="28"/>
          <w:szCs w:val="28"/>
          <w:rtl/>
        </w:rPr>
        <w:t xml:space="preserve">חלקיו של </w:t>
      </w:r>
      <w:r w:rsidR="00B21745" w:rsidRPr="001A0B66">
        <w:rPr>
          <w:rFonts w:ascii="FrankRuehl" w:hAnsi="FrankRuehl" w:cs="FrankRuehl"/>
          <w:sz w:val="28"/>
          <w:szCs w:val="28"/>
          <w:rtl/>
        </w:rPr>
        <w:t xml:space="preserve">החומר </w:t>
      </w:r>
      <w:r w:rsidR="009D582B" w:rsidRPr="001A0B66">
        <w:rPr>
          <w:rFonts w:ascii="FrankRuehl" w:hAnsi="FrankRuehl" w:cs="FrankRuehl"/>
          <w:sz w:val="28"/>
          <w:szCs w:val="28"/>
          <w:rtl/>
        </w:rPr>
        <w:t>המודיעיני</w:t>
      </w:r>
      <w:r w:rsidR="00B21745" w:rsidRPr="001A0B66">
        <w:rPr>
          <w:rFonts w:ascii="FrankRuehl" w:hAnsi="FrankRuehl" w:cs="FrankRuehl"/>
          <w:sz w:val="28"/>
          <w:szCs w:val="28"/>
          <w:rtl/>
        </w:rPr>
        <w:t xml:space="preserve"> </w:t>
      </w:r>
      <w:r w:rsidR="00D6555E" w:rsidRPr="001A0B66">
        <w:rPr>
          <w:rFonts w:ascii="FrankRuehl" w:hAnsi="FrankRuehl" w:cs="FrankRuehl"/>
          <w:sz w:val="28"/>
          <w:szCs w:val="28"/>
          <w:rtl/>
        </w:rPr>
        <w:t>הנתפסים כרל</w:t>
      </w:r>
      <w:r w:rsidR="00F10DDB" w:rsidRPr="001A0B66">
        <w:rPr>
          <w:rFonts w:ascii="FrankRuehl" w:hAnsi="FrankRuehl" w:cs="FrankRuehl"/>
          <w:sz w:val="28"/>
          <w:szCs w:val="28"/>
          <w:rtl/>
        </w:rPr>
        <w:t>וו</w:t>
      </w:r>
      <w:r w:rsidR="00D6555E" w:rsidRPr="001A0B66">
        <w:rPr>
          <w:rFonts w:ascii="FrankRuehl" w:hAnsi="FrankRuehl" w:cs="FrankRuehl"/>
          <w:sz w:val="28"/>
          <w:szCs w:val="28"/>
          <w:rtl/>
        </w:rPr>
        <w:t xml:space="preserve">נטיים </w:t>
      </w:r>
      <w:r w:rsidR="00AF1B74" w:rsidRPr="001A0B66">
        <w:rPr>
          <w:rFonts w:ascii="FrankRuehl" w:hAnsi="FrankRuehl" w:cs="FrankRuehl"/>
          <w:sz w:val="28"/>
          <w:szCs w:val="28"/>
          <w:rtl/>
        </w:rPr>
        <w:t xml:space="preserve">בעיני השב"כ </w:t>
      </w:r>
      <w:r w:rsidR="00D6555E" w:rsidRPr="001A0B66">
        <w:rPr>
          <w:rFonts w:ascii="FrankRuehl" w:hAnsi="FrankRuehl" w:cs="FrankRuehl"/>
          <w:sz w:val="28"/>
          <w:szCs w:val="28"/>
          <w:rtl/>
        </w:rPr>
        <w:t>מתורג</w:t>
      </w:r>
      <w:r w:rsidR="00F10DDB" w:rsidRPr="001A0B66">
        <w:rPr>
          <w:rFonts w:ascii="FrankRuehl" w:hAnsi="FrankRuehl" w:cs="FrankRuehl"/>
          <w:sz w:val="28"/>
          <w:szCs w:val="28"/>
          <w:rtl/>
        </w:rPr>
        <w:t>מי</w:t>
      </w:r>
      <w:r w:rsidR="00D6555E" w:rsidRPr="001A0B66">
        <w:rPr>
          <w:rFonts w:ascii="FrankRuehl" w:hAnsi="FrankRuehl" w:cs="FrankRuehl"/>
          <w:sz w:val="28"/>
          <w:szCs w:val="28"/>
          <w:rtl/>
        </w:rPr>
        <w:t>ם ל</w:t>
      </w:r>
      <w:r w:rsidR="00B21745" w:rsidRPr="001A0B66">
        <w:rPr>
          <w:rFonts w:ascii="FrankRuehl" w:hAnsi="FrankRuehl" w:cs="FrankRuehl"/>
          <w:sz w:val="28"/>
          <w:szCs w:val="28"/>
          <w:rtl/>
        </w:rPr>
        <w:t>עברית</w:t>
      </w:r>
      <w:r w:rsidR="00E42274" w:rsidRPr="001A0B66">
        <w:rPr>
          <w:rFonts w:ascii="FrankRuehl" w:hAnsi="FrankRuehl" w:cs="FrankRuehl"/>
          <w:sz w:val="28"/>
          <w:szCs w:val="28"/>
          <w:rtl/>
        </w:rPr>
        <w:t xml:space="preserve"> (</w:t>
      </w:r>
      <w:r w:rsidR="00F10DDB" w:rsidRPr="001A0B66">
        <w:rPr>
          <w:rFonts w:ascii="FrankRuehl" w:hAnsi="FrankRuehl" w:cs="FrankRuehl"/>
          <w:sz w:val="28"/>
          <w:szCs w:val="28"/>
          <w:rtl/>
        </w:rPr>
        <w:t xml:space="preserve">לשם </w:t>
      </w:r>
      <w:r w:rsidR="00617EA2" w:rsidRPr="001A0B66">
        <w:rPr>
          <w:rFonts w:ascii="FrankRuehl" w:hAnsi="FrankRuehl" w:cs="FrankRuehl"/>
          <w:sz w:val="28"/>
          <w:szCs w:val="28"/>
          <w:rtl/>
        </w:rPr>
        <w:t xml:space="preserve">העברתם </w:t>
      </w:r>
      <w:r w:rsidR="00B21745" w:rsidRPr="001A0B66">
        <w:rPr>
          <w:rFonts w:ascii="FrankRuehl" w:hAnsi="FrankRuehl" w:cs="FrankRuehl"/>
          <w:sz w:val="28"/>
          <w:szCs w:val="28"/>
          <w:rtl/>
        </w:rPr>
        <w:t>למקבלי ההחלטות בשב"כ</w:t>
      </w:r>
      <w:r w:rsidR="00E42274" w:rsidRPr="001A0B66">
        <w:rPr>
          <w:rFonts w:ascii="FrankRuehl" w:hAnsi="FrankRuehl" w:cs="FrankRuehl"/>
          <w:sz w:val="28"/>
          <w:szCs w:val="28"/>
          <w:rtl/>
        </w:rPr>
        <w:t xml:space="preserve"> ו</w:t>
      </w:r>
      <w:r w:rsidR="005A25AF" w:rsidRPr="001A0B66">
        <w:rPr>
          <w:rFonts w:ascii="FrankRuehl" w:hAnsi="FrankRuehl" w:cs="FrankRuehl"/>
          <w:sz w:val="28"/>
          <w:szCs w:val="28"/>
          <w:rtl/>
        </w:rPr>
        <w:t xml:space="preserve">אולי גם </w:t>
      </w:r>
      <w:r w:rsidR="00E42274" w:rsidRPr="001A0B66">
        <w:rPr>
          <w:rFonts w:ascii="FrankRuehl" w:hAnsi="FrankRuehl" w:cs="FrankRuehl"/>
          <w:sz w:val="28"/>
          <w:szCs w:val="28"/>
          <w:rtl/>
        </w:rPr>
        <w:t xml:space="preserve">לשר </w:t>
      </w:r>
      <w:r w:rsidR="0001531B" w:rsidRPr="001A0B66">
        <w:rPr>
          <w:rFonts w:ascii="FrankRuehl" w:hAnsi="FrankRuehl" w:cs="FrankRuehl"/>
          <w:sz w:val="28"/>
          <w:szCs w:val="28"/>
          <w:rtl/>
        </w:rPr>
        <w:t xml:space="preserve">או </w:t>
      </w:r>
      <w:r w:rsidR="005A25AF" w:rsidRPr="001A0B66">
        <w:rPr>
          <w:rFonts w:ascii="FrankRuehl" w:hAnsi="FrankRuehl" w:cs="FrankRuehl"/>
          <w:sz w:val="28"/>
          <w:szCs w:val="28"/>
          <w:rtl/>
        </w:rPr>
        <w:t>ל</w:t>
      </w:r>
      <w:r w:rsidR="0001531B" w:rsidRPr="001A0B66">
        <w:rPr>
          <w:rFonts w:ascii="FrankRuehl" w:hAnsi="FrankRuehl" w:cs="FrankRuehl"/>
          <w:sz w:val="28"/>
          <w:szCs w:val="28"/>
          <w:rtl/>
        </w:rPr>
        <w:t xml:space="preserve">מפקד הצבאי </w:t>
      </w:r>
      <w:r w:rsidR="00E42274" w:rsidRPr="001A0B66">
        <w:rPr>
          <w:rFonts w:ascii="FrankRuehl" w:hAnsi="FrankRuehl" w:cs="FrankRuehl"/>
          <w:sz w:val="28"/>
          <w:szCs w:val="28"/>
          <w:rtl/>
        </w:rPr>
        <w:t>המוציא את הצו)</w:t>
      </w:r>
      <w:r w:rsidR="00334675" w:rsidRPr="001A0B66">
        <w:rPr>
          <w:rFonts w:ascii="FrankRuehl" w:hAnsi="FrankRuehl" w:cs="FrankRuehl"/>
          <w:sz w:val="28"/>
          <w:szCs w:val="28"/>
          <w:rtl/>
        </w:rPr>
        <w:t>, ויש להניח</w:t>
      </w:r>
      <w:r w:rsidR="00AF1B74" w:rsidRPr="001A0B66">
        <w:rPr>
          <w:rFonts w:ascii="FrankRuehl" w:hAnsi="FrankRuehl" w:cs="FrankRuehl"/>
          <w:sz w:val="28"/>
          <w:szCs w:val="28"/>
          <w:rtl/>
        </w:rPr>
        <w:t xml:space="preserve"> עוד</w:t>
      </w:r>
      <w:r w:rsidR="00BA6EE8">
        <w:rPr>
          <w:rFonts w:ascii="FrankRuehl" w:hAnsi="FrankRuehl" w:cs="FrankRuehl"/>
          <w:sz w:val="28"/>
          <w:szCs w:val="28"/>
          <w:rtl/>
        </w:rPr>
        <w:t xml:space="preserve"> ולדאוג לכך</w:t>
      </w:r>
      <w:r w:rsidR="00AF1B74" w:rsidRPr="001A0B66">
        <w:rPr>
          <w:rFonts w:ascii="FrankRuehl" w:hAnsi="FrankRuehl" w:cs="FrankRuehl"/>
          <w:sz w:val="28"/>
          <w:szCs w:val="28"/>
          <w:rtl/>
        </w:rPr>
        <w:t>,</w:t>
      </w:r>
      <w:r w:rsidR="00334675" w:rsidRPr="001A0B66">
        <w:rPr>
          <w:rFonts w:ascii="FrankRuehl" w:hAnsi="FrankRuehl" w:cs="FrankRuehl"/>
          <w:sz w:val="28"/>
          <w:szCs w:val="28"/>
          <w:rtl/>
        </w:rPr>
        <w:t xml:space="preserve"> כי תרגום זה יעמוד לרשות עורכי הדין המיוחדים ובית המשפט, ואולם יש </w:t>
      </w:r>
      <w:r w:rsidR="00AF1B74" w:rsidRPr="001A0B66">
        <w:rPr>
          <w:rFonts w:ascii="FrankRuehl" w:hAnsi="FrankRuehl" w:cs="FrankRuehl"/>
          <w:sz w:val="28"/>
          <w:szCs w:val="28"/>
          <w:rtl/>
        </w:rPr>
        <w:t xml:space="preserve">להעמיד לרשות עורכי הדין המיוחדים ובית המשפט את מלוא החומר המודיעיני כאשר הוא מתורגם לעברית, </w:t>
      </w:r>
      <w:r w:rsidR="00931B43" w:rsidRPr="001A0B66">
        <w:rPr>
          <w:rFonts w:ascii="FrankRuehl" w:hAnsi="FrankRuehl" w:cs="FrankRuehl"/>
          <w:sz w:val="28"/>
          <w:szCs w:val="28"/>
          <w:rtl/>
        </w:rPr>
        <w:t xml:space="preserve">או נגיש לתרגום מהיר ומהימן לעברית, </w:t>
      </w:r>
      <w:r w:rsidR="00AF1B74" w:rsidRPr="001A0B66">
        <w:rPr>
          <w:rFonts w:ascii="FrankRuehl" w:hAnsi="FrankRuehl" w:cs="FrankRuehl"/>
          <w:sz w:val="28"/>
          <w:szCs w:val="28"/>
          <w:rtl/>
        </w:rPr>
        <w:t xml:space="preserve">ולאפשר דיון </w:t>
      </w:r>
      <w:r w:rsidR="00334675" w:rsidRPr="001A0B66">
        <w:rPr>
          <w:rFonts w:ascii="FrankRuehl" w:hAnsi="FrankRuehl" w:cs="FrankRuehl"/>
          <w:sz w:val="28"/>
          <w:szCs w:val="28"/>
          <w:rtl/>
        </w:rPr>
        <w:t xml:space="preserve">ביחס לתרגום הנכון </w:t>
      </w:r>
      <w:r w:rsidR="00AF1B74" w:rsidRPr="001A0B66">
        <w:rPr>
          <w:rFonts w:ascii="FrankRuehl" w:hAnsi="FrankRuehl" w:cs="FrankRuehl"/>
          <w:sz w:val="28"/>
          <w:szCs w:val="28"/>
          <w:rtl/>
        </w:rPr>
        <w:t>לעברית</w:t>
      </w:r>
      <w:r w:rsidR="00545D2B" w:rsidRPr="001A0B66">
        <w:rPr>
          <w:rFonts w:ascii="FrankRuehl" w:hAnsi="FrankRuehl" w:cs="FrankRuehl"/>
          <w:sz w:val="28"/>
          <w:szCs w:val="28"/>
          <w:rtl/>
        </w:rPr>
        <w:t xml:space="preserve"> ב</w:t>
      </w:r>
      <w:r w:rsidR="00AF1B74" w:rsidRPr="001A0B66">
        <w:rPr>
          <w:rFonts w:ascii="FrankRuehl" w:hAnsi="FrankRuehl" w:cs="FrankRuehl"/>
          <w:sz w:val="28"/>
          <w:szCs w:val="28"/>
          <w:rtl/>
        </w:rPr>
        <w:t xml:space="preserve">נקודות השנויות במחלוקת. </w:t>
      </w:r>
      <w:r w:rsidR="009D582B" w:rsidRPr="001A0B66">
        <w:rPr>
          <w:rFonts w:ascii="FrankRuehl" w:hAnsi="FrankRuehl" w:cs="FrankRuehl"/>
          <w:sz w:val="28"/>
          <w:szCs w:val="28"/>
          <w:rtl/>
        </w:rPr>
        <w:t>היכרות</w:t>
      </w:r>
      <w:r w:rsidR="00D60104" w:rsidRPr="001A0B66">
        <w:rPr>
          <w:rFonts w:ascii="FrankRuehl" w:hAnsi="FrankRuehl" w:cs="FrankRuehl"/>
          <w:sz w:val="28"/>
          <w:szCs w:val="28"/>
          <w:rtl/>
        </w:rPr>
        <w:t xml:space="preserve"> למשל</w:t>
      </w:r>
      <w:r w:rsidR="009D582B" w:rsidRPr="001A0B66">
        <w:rPr>
          <w:rFonts w:ascii="FrankRuehl" w:hAnsi="FrankRuehl" w:cs="FrankRuehl"/>
          <w:sz w:val="28"/>
          <w:szCs w:val="28"/>
          <w:rtl/>
        </w:rPr>
        <w:t xml:space="preserve"> עם </w:t>
      </w:r>
      <w:r w:rsidR="00F92A31" w:rsidRPr="001A0B66">
        <w:rPr>
          <w:rFonts w:ascii="FrankRuehl" w:hAnsi="FrankRuehl" w:cs="FrankRuehl"/>
          <w:sz w:val="28"/>
          <w:szCs w:val="28"/>
          <w:rtl/>
        </w:rPr>
        <w:t xml:space="preserve">מכשלות </w:t>
      </w:r>
      <w:r w:rsidR="002B41ED" w:rsidRPr="001A0B66">
        <w:rPr>
          <w:rFonts w:ascii="FrankRuehl" w:hAnsi="FrankRuehl" w:cs="FrankRuehl"/>
          <w:sz w:val="28"/>
          <w:szCs w:val="28"/>
          <w:rtl/>
        </w:rPr>
        <w:t xml:space="preserve">שנופלות </w:t>
      </w:r>
      <w:r w:rsidR="00F92A31" w:rsidRPr="001A0B66">
        <w:rPr>
          <w:rFonts w:ascii="FrankRuehl" w:hAnsi="FrankRuehl" w:cs="FrankRuehl"/>
          <w:sz w:val="28"/>
          <w:szCs w:val="28"/>
          <w:rtl/>
        </w:rPr>
        <w:t xml:space="preserve">בחקירות משטרה בשל פערי שפה בין הנחקרים וחוקריהם </w:t>
      </w:r>
      <w:r w:rsidR="00617EA2" w:rsidRPr="001A0B66">
        <w:rPr>
          <w:rFonts w:ascii="FrankRuehl" w:hAnsi="FrankRuehl" w:cs="FrankRuehl"/>
          <w:sz w:val="28"/>
          <w:szCs w:val="28"/>
          <w:rtl/>
        </w:rPr>
        <w:t>מדגימ</w:t>
      </w:r>
      <w:r w:rsidR="00D60104" w:rsidRPr="001A0B66">
        <w:rPr>
          <w:rFonts w:ascii="FrankRuehl" w:hAnsi="FrankRuehl" w:cs="FrankRuehl"/>
          <w:sz w:val="28"/>
          <w:szCs w:val="28"/>
          <w:rtl/>
        </w:rPr>
        <w:t>ה</w:t>
      </w:r>
      <w:r w:rsidR="009D582B" w:rsidRPr="001A0B66">
        <w:rPr>
          <w:rFonts w:ascii="FrankRuehl" w:hAnsi="FrankRuehl" w:cs="FrankRuehl"/>
          <w:sz w:val="28"/>
          <w:szCs w:val="28"/>
          <w:rtl/>
        </w:rPr>
        <w:t xml:space="preserve"> את חשיבות </w:t>
      </w:r>
      <w:r w:rsidR="00AF1B74" w:rsidRPr="001A0B66">
        <w:rPr>
          <w:rFonts w:ascii="FrankRuehl" w:hAnsi="FrankRuehl" w:cs="FrankRuehl"/>
          <w:sz w:val="28"/>
          <w:szCs w:val="28"/>
          <w:rtl/>
        </w:rPr>
        <w:t>הדרישות שאותן שרטטנו לעיל</w:t>
      </w:r>
      <w:r w:rsidR="009D582B" w:rsidRPr="001A0B66">
        <w:rPr>
          <w:rFonts w:ascii="FrankRuehl" w:hAnsi="FrankRuehl" w:cs="FrankRuehl"/>
          <w:sz w:val="28"/>
          <w:szCs w:val="28"/>
          <w:rtl/>
        </w:rPr>
        <w:t>.</w:t>
      </w:r>
      <w:r w:rsidR="003F7364" w:rsidRPr="001A0B66">
        <w:rPr>
          <w:rStyle w:val="FootnoteReference"/>
          <w:rFonts w:ascii="FrankRuehl" w:hAnsi="FrankRuehl" w:cs="FrankRuehl"/>
          <w:sz w:val="28"/>
          <w:szCs w:val="28"/>
          <w:rtl/>
        </w:rPr>
        <w:footnoteReference w:id="88"/>
      </w:r>
      <w:r w:rsidR="009D582B" w:rsidRPr="001A0B66">
        <w:rPr>
          <w:rFonts w:ascii="FrankRuehl" w:hAnsi="FrankRuehl" w:cs="FrankRuehl"/>
          <w:sz w:val="28"/>
          <w:szCs w:val="28"/>
          <w:rtl/>
        </w:rPr>
        <w:t xml:space="preserve"> </w:t>
      </w:r>
      <w:r w:rsidR="00AD2576" w:rsidRPr="001A0B66">
        <w:rPr>
          <w:rFonts w:ascii="FrankRuehl" w:hAnsi="FrankRuehl" w:cs="FrankRuehl"/>
          <w:sz w:val="28"/>
          <w:szCs w:val="28"/>
          <w:rtl/>
        </w:rPr>
        <w:t xml:space="preserve">לעיתים </w:t>
      </w:r>
      <w:r w:rsidR="00617EA2" w:rsidRPr="001A0B66">
        <w:rPr>
          <w:rFonts w:ascii="FrankRuehl" w:hAnsi="FrankRuehl" w:cs="FrankRuehl"/>
          <w:sz w:val="28"/>
          <w:szCs w:val="28"/>
          <w:rtl/>
        </w:rPr>
        <w:t>תכופות</w:t>
      </w:r>
      <w:r w:rsidR="00AD2576" w:rsidRPr="001A0B66">
        <w:rPr>
          <w:rFonts w:ascii="FrankRuehl" w:hAnsi="FrankRuehl" w:cs="FrankRuehl"/>
          <w:sz w:val="28"/>
          <w:szCs w:val="28"/>
          <w:rtl/>
        </w:rPr>
        <w:t xml:space="preserve"> מתעוררת</w:t>
      </w:r>
      <w:r w:rsidR="00617EA2" w:rsidRPr="001A0B66">
        <w:rPr>
          <w:rFonts w:ascii="FrankRuehl" w:hAnsi="FrankRuehl" w:cs="FrankRuehl"/>
          <w:sz w:val="28"/>
          <w:szCs w:val="28"/>
          <w:rtl/>
        </w:rPr>
        <w:t xml:space="preserve"> </w:t>
      </w:r>
      <w:r w:rsidR="00463C7E" w:rsidRPr="001A0B66">
        <w:rPr>
          <w:rFonts w:ascii="FrankRuehl" w:hAnsi="FrankRuehl" w:cs="FrankRuehl"/>
          <w:sz w:val="28"/>
          <w:szCs w:val="28"/>
          <w:rtl/>
        </w:rPr>
        <w:t>בעיה נוספת</w:t>
      </w:r>
      <w:r w:rsidR="00AD2576" w:rsidRPr="001A0B66">
        <w:rPr>
          <w:rFonts w:ascii="FrankRuehl" w:hAnsi="FrankRuehl" w:cs="FrankRuehl"/>
          <w:sz w:val="28"/>
          <w:szCs w:val="28"/>
          <w:rtl/>
        </w:rPr>
        <w:t xml:space="preserve"> והפוכה</w:t>
      </w:r>
      <w:r w:rsidR="00D6555E" w:rsidRPr="001A0B66">
        <w:rPr>
          <w:rFonts w:ascii="FrankRuehl" w:hAnsi="FrankRuehl" w:cs="FrankRuehl"/>
          <w:sz w:val="28"/>
          <w:szCs w:val="28"/>
          <w:rtl/>
        </w:rPr>
        <w:t>,</w:t>
      </w:r>
      <w:r w:rsidR="00463C7E" w:rsidRPr="001A0B66">
        <w:rPr>
          <w:rFonts w:ascii="FrankRuehl" w:hAnsi="FrankRuehl" w:cs="FrankRuehl"/>
          <w:sz w:val="28"/>
          <w:szCs w:val="28"/>
          <w:rtl/>
        </w:rPr>
        <w:t xml:space="preserve"> </w:t>
      </w:r>
      <w:r w:rsidR="009D582B" w:rsidRPr="001A0B66">
        <w:rPr>
          <w:rFonts w:ascii="FrankRuehl" w:hAnsi="FrankRuehl" w:cs="FrankRuehl"/>
          <w:sz w:val="28"/>
          <w:szCs w:val="28"/>
          <w:rtl/>
        </w:rPr>
        <w:t>והיא שאלת ה</w:t>
      </w:r>
      <w:r w:rsidR="00463C7E" w:rsidRPr="001A0B66">
        <w:rPr>
          <w:rFonts w:ascii="FrankRuehl" w:hAnsi="FrankRuehl" w:cs="FrankRuehl"/>
          <w:sz w:val="28"/>
          <w:szCs w:val="28"/>
          <w:rtl/>
        </w:rPr>
        <w:t>תרגום מעברית לערבית של הפרפרזה ושל הדיון המשפטי המתקיים</w:t>
      </w:r>
      <w:r w:rsidR="00656CAA" w:rsidRPr="001A0B66">
        <w:rPr>
          <w:rFonts w:ascii="FrankRuehl" w:hAnsi="FrankRuehl" w:cs="FrankRuehl"/>
          <w:sz w:val="28"/>
          <w:szCs w:val="28"/>
          <w:rtl/>
        </w:rPr>
        <w:t xml:space="preserve"> עבור האדם שהופעלה </w:t>
      </w:r>
      <w:r w:rsidR="00AD2576" w:rsidRPr="001A0B66">
        <w:rPr>
          <w:rFonts w:ascii="FrankRuehl" w:hAnsi="FrankRuehl" w:cs="FrankRuehl"/>
          <w:sz w:val="28"/>
          <w:szCs w:val="28"/>
          <w:rtl/>
        </w:rPr>
        <w:t xml:space="preserve">עליו </w:t>
      </w:r>
      <w:r w:rsidR="00656CAA" w:rsidRPr="001A0B66">
        <w:rPr>
          <w:rFonts w:ascii="FrankRuehl" w:hAnsi="FrankRuehl" w:cs="FrankRuehl"/>
          <w:sz w:val="28"/>
          <w:szCs w:val="28"/>
          <w:rtl/>
        </w:rPr>
        <w:t>סמכות חירום</w:t>
      </w:r>
      <w:r w:rsidR="00463C7E" w:rsidRPr="001A0B66">
        <w:rPr>
          <w:rFonts w:ascii="FrankRuehl" w:hAnsi="FrankRuehl" w:cs="FrankRuehl"/>
          <w:sz w:val="28"/>
          <w:szCs w:val="28"/>
          <w:rtl/>
        </w:rPr>
        <w:t xml:space="preserve">. </w:t>
      </w:r>
    </w:p>
    <w:p w14:paraId="62F289E4" w14:textId="77777777" w:rsidR="00463C7E" w:rsidRPr="001A0B66" w:rsidRDefault="009D582B"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w:t>
      </w:r>
      <w:r w:rsidR="00463C7E" w:rsidRPr="001A0B66">
        <w:rPr>
          <w:rFonts w:ascii="FrankRuehl" w:hAnsi="FrankRuehl" w:cs="FrankRuehl"/>
          <w:sz w:val="28"/>
          <w:szCs w:val="28"/>
          <w:rtl/>
        </w:rPr>
        <w:t xml:space="preserve">קשיים </w:t>
      </w:r>
      <w:r w:rsidRPr="001A0B66">
        <w:rPr>
          <w:rFonts w:ascii="FrankRuehl" w:hAnsi="FrankRuehl" w:cs="FrankRuehl"/>
          <w:sz w:val="28"/>
          <w:szCs w:val="28"/>
          <w:rtl/>
        </w:rPr>
        <w:t>הללו</w:t>
      </w:r>
      <w:r w:rsidR="00463C7E" w:rsidRPr="001A0B66">
        <w:rPr>
          <w:rFonts w:ascii="FrankRuehl" w:hAnsi="FrankRuehl" w:cs="FrankRuehl"/>
          <w:sz w:val="28"/>
          <w:szCs w:val="28"/>
          <w:rtl/>
        </w:rPr>
        <w:t xml:space="preserve"> בשני כיווני התרגום צפויים להשפיע כמובן על עורכי הדין המיוחדים ועל יכולתם למלא באופן יעיל את תפקידם. </w:t>
      </w:r>
      <w:r w:rsidRPr="001A0B66">
        <w:rPr>
          <w:rFonts w:ascii="FrankRuehl" w:hAnsi="FrankRuehl" w:cs="FrankRuehl"/>
          <w:sz w:val="28"/>
          <w:szCs w:val="28"/>
          <w:rtl/>
        </w:rPr>
        <w:t xml:space="preserve">המענה לכך צריך להיות </w:t>
      </w:r>
      <w:r w:rsidR="00463C7E" w:rsidRPr="001A0B66">
        <w:rPr>
          <w:rFonts w:ascii="FrankRuehl" w:hAnsi="FrankRuehl" w:cs="FrankRuehl"/>
          <w:sz w:val="28"/>
          <w:szCs w:val="28"/>
          <w:rtl/>
        </w:rPr>
        <w:t>כפול: הימצאותם של עורכי דין ערבים רבים בקרב עורכי הדין המיוחדים והסתייעות ב</w:t>
      </w:r>
      <w:r w:rsidR="00545D2B" w:rsidRPr="001A0B66">
        <w:rPr>
          <w:rFonts w:ascii="FrankRuehl" w:hAnsi="FrankRuehl" w:cs="FrankRuehl"/>
          <w:sz w:val="28"/>
          <w:szCs w:val="28"/>
          <w:rtl/>
        </w:rPr>
        <w:t>תרגומים מוקדמים</w:t>
      </w:r>
      <w:r w:rsidR="00AD2576" w:rsidRPr="001A0B66">
        <w:rPr>
          <w:rFonts w:ascii="FrankRuehl" w:hAnsi="FrankRuehl" w:cs="FrankRuehl"/>
          <w:sz w:val="28"/>
          <w:szCs w:val="28"/>
          <w:rtl/>
        </w:rPr>
        <w:t xml:space="preserve"> וב</w:t>
      </w:r>
      <w:r w:rsidR="00463C7E" w:rsidRPr="001A0B66">
        <w:rPr>
          <w:rFonts w:ascii="FrankRuehl" w:hAnsi="FrankRuehl" w:cs="FrankRuehl"/>
          <w:sz w:val="28"/>
          <w:szCs w:val="28"/>
          <w:rtl/>
        </w:rPr>
        <w:t xml:space="preserve">מתורגמנים. </w:t>
      </w:r>
      <w:r w:rsidR="00BA326D" w:rsidRPr="001A0B66">
        <w:rPr>
          <w:rFonts w:ascii="FrankRuehl" w:hAnsi="FrankRuehl" w:cs="FrankRuehl"/>
          <w:sz w:val="28"/>
          <w:szCs w:val="28"/>
          <w:rtl/>
        </w:rPr>
        <w:t xml:space="preserve">אכן </w:t>
      </w:r>
      <w:r w:rsidR="00463C7E" w:rsidRPr="001A0B66">
        <w:rPr>
          <w:rFonts w:ascii="FrankRuehl" w:hAnsi="FrankRuehl" w:cs="FrankRuehl"/>
          <w:sz w:val="28"/>
          <w:szCs w:val="28"/>
          <w:rtl/>
        </w:rPr>
        <w:t>בשל אופי</w:t>
      </w:r>
      <w:r w:rsidR="00656CAA" w:rsidRPr="001A0B66">
        <w:rPr>
          <w:rFonts w:ascii="FrankRuehl" w:hAnsi="FrankRuehl" w:cs="FrankRuehl"/>
          <w:sz w:val="28"/>
          <w:szCs w:val="28"/>
          <w:rtl/>
        </w:rPr>
        <w:t>ין של</w:t>
      </w:r>
      <w:r w:rsidR="00463C7E" w:rsidRPr="001A0B66">
        <w:rPr>
          <w:rFonts w:ascii="FrankRuehl" w:hAnsi="FrankRuehl" w:cs="FrankRuehl"/>
          <w:sz w:val="28"/>
          <w:szCs w:val="28"/>
          <w:rtl/>
        </w:rPr>
        <w:t xml:space="preserve"> הראיות החסויות מתחייב הסדר</w:t>
      </w:r>
      <w:r w:rsidR="00BA326D" w:rsidRPr="001A0B66">
        <w:rPr>
          <w:rFonts w:ascii="FrankRuehl" w:hAnsi="FrankRuehl" w:cs="FrankRuehl"/>
          <w:sz w:val="28"/>
          <w:szCs w:val="28"/>
          <w:rtl/>
        </w:rPr>
        <w:t xml:space="preserve"> שיאפשר לעורך הדין המיוחד להסתייע במתורגמן ששירותיו ישולמו במימון המדינה.</w:t>
      </w:r>
      <w:r w:rsidR="00463C7E" w:rsidRPr="001A0B66">
        <w:rPr>
          <w:rFonts w:ascii="FrankRuehl" w:hAnsi="FrankRuehl" w:cs="FrankRuehl"/>
          <w:sz w:val="28"/>
          <w:szCs w:val="28"/>
          <w:rtl/>
        </w:rPr>
        <w:t xml:space="preserve"> </w:t>
      </w:r>
    </w:p>
    <w:p w14:paraId="0DA0C866" w14:textId="77777777" w:rsidR="006A3DF7" w:rsidRPr="001A0B66" w:rsidRDefault="009941E7" w:rsidP="00F307FB">
      <w:pPr>
        <w:pStyle w:val="a0"/>
        <w:spacing w:line="276" w:lineRule="auto"/>
        <w:rPr>
          <w:rFonts w:ascii="FrankRuehl" w:hAnsi="FrankRuehl" w:cs="FrankRuehl"/>
          <w:b/>
          <w:bCs/>
          <w:sz w:val="28"/>
          <w:szCs w:val="28"/>
          <w:rtl/>
        </w:rPr>
      </w:pPr>
      <w:r w:rsidRPr="001A0B66">
        <w:rPr>
          <w:rFonts w:ascii="FrankRuehl" w:hAnsi="FrankRuehl" w:cs="FrankRuehl"/>
          <w:sz w:val="28"/>
          <w:szCs w:val="28"/>
          <w:rtl/>
        </w:rPr>
        <w:t xml:space="preserve">לבסוף, </w:t>
      </w:r>
      <w:r w:rsidR="00122B0B" w:rsidRPr="001A0B66">
        <w:rPr>
          <w:rFonts w:ascii="FrankRuehl" w:hAnsi="FrankRuehl" w:cs="FrankRuehl"/>
          <w:sz w:val="28"/>
          <w:szCs w:val="28"/>
          <w:rtl/>
        </w:rPr>
        <w:t>התמונה העובדתית המקיפה יותר ש</w:t>
      </w:r>
      <w:r w:rsidR="00042281" w:rsidRPr="001A0B66">
        <w:rPr>
          <w:rFonts w:ascii="FrankRuehl" w:hAnsi="FrankRuehl" w:cs="FrankRuehl"/>
          <w:sz w:val="28"/>
          <w:szCs w:val="28"/>
          <w:rtl/>
        </w:rPr>
        <w:t xml:space="preserve">צפויה להתגבש בעקבות </w:t>
      </w:r>
      <w:r w:rsidR="00122B0B" w:rsidRPr="001A0B66">
        <w:rPr>
          <w:rFonts w:ascii="FrankRuehl" w:hAnsi="FrankRuehl" w:cs="FrankRuehl"/>
          <w:sz w:val="28"/>
          <w:szCs w:val="28"/>
          <w:rtl/>
        </w:rPr>
        <w:t xml:space="preserve">פעילות עורך הדין המיוחד, על השאלות והספקות </w:t>
      </w:r>
      <w:r w:rsidR="00042281" w:rsidRPr="001A0B66">
        <w:rPr>
          <w:rFonts w:ascii="FrankRuehl" w:hAnsi="FrankRuehl" w:cs="FrankRuehl"/>
          <w:sz w:val="28"/>
          <w:szCs w:val="28"/>
          <w:rtl/>
        </w:rPr>
        <w:t>שהיא צפויה לעורר</w:t>
      </w:r>
      <w:r w:rsidR="00122B0B" w:rsidRPr="001A0B66">
        <w:rPr>
          <w:rFonts w:ascii="FrankRuehl" w:hAnsi="FrankRuehl" w:cs="FrankRuehl"/>
          <w:sz w:val="28"/>
          <w:szCs w:val="28"/>
          <w:rtl/>
        </w:rPr>
        <w:t xml:space="preserve">, עשויה להצדיק הזמנת עדים מטעמו של </w:t>
      </w:r>
      <w:r w:rsidR="00122B0B" w:rsidRPr="001A0B66">
        <w:rPr>
          <w:rFonts w:ascii="FrankRuehl" w:hAnsi="FrankRuehl" w:cs="FrankRuehl"/>
          <w:sz w:val="28"/>
          <w:szCs w:val="28"/>
          <w:rtl/>
        </w:rPr>
        <w:lastRenderedPageBreak/>
        <w:t>האדם באישור בית המשפט.</w:t>
      </w:r>
      <w:r w:rsidR="003A00F5" w:rsidRPr="001A0B66">
        <w:rPr>
          <w:rFonts w:ascii="FrankRuehl" w:hAnsi="FrankRuehl" w:cs="FrankRuehl"/>
          <w:sz w:val="28"/>
          <w:szCs w:val="28"/>
          <w:rtl/>
        </w:rPr>
        <w:t xml:space="preserve"> </w:t>
      </w:r>
      <w:r w:rsidR="0028099F" w:rsidRPr="001A0B66">
        <w:rPr>
          <w:rFonts w:ascii="FrankRuehl" w:hAnsi="FrankRuehl" w:cs="FrankRuehl"/>
          <w:sz w:val="28"/>
          <w:szCs w:val="28"/>
          <w:rtl/>
        </w:rPr>
        <w:t>עדויות יכולות להתייחס לשאלות של עובדה</w:t>
      </w:r>
      <w:r w:rsidR="00ED6AF5" w:rsidRPr="001A0B66">
        <w:rPr>
          <w:rFonts w:ascii="FrankRuehl" w:hAnsi="FrankRuehl" w:cs="FrankRuehl"/>
          <w:sz w:val="28"/>
          <w:szCs w:val="28"/>
          <w:rtl/>
        </w:rPr>
        <w:t>, ו</w:t>
      </w:r>
      <w:r w:rsidR="003A00F5" w:rsidRPr="001A0B66">
        <w:rPr>
          <w:rFonts w:ascii="FrankRuehl" w:hAnsi="FrankRuehl" w:cs="FrankRuehl"/>
          <w:sz w:val="28"/>
          <w:szCs w:val="28"/>
          <w:rtl/>
        </w:rPr>
        <w:t xml:space="preserve">אפשריות גם </w:t>
      </w:r>
      <w:r w:rsidR="0028099F" w:rsidRPr="001A0B66">
        <w:rPr>
          <w:rFonts w:ascii="FrankRuehl" w:hAnsi="FrankRuehl" w:cs="FrankRuehl"/>
          <w:sz w:val="28"/>
          <w:szCs w:val="28"/>
          <w:rtl/>
        </w:rPr>
        <w:t>עדויות</w:t>
      </w:r>
      <w:r w:rsidR="00ED6AF5" w:rsidRPr="001A0B66">
        <w:rPr>
          <w:rFonts w:ascii="FrankRuehl" w:hAnsi="FrankRuehl" w:cs="FrankRuehl"/>
          <w:sz w:val="28"/>
          <w:szCs w:val="28"/>
          <w:rtl/>
        </w:rPr>
        <w:t xml:space="preserve"> </w:t>
      </w:r>
      <w:r w:rsidR="0028099F" w:rsidRPr="001A0B66">
        <w:rPr>
          <w:rFonts w:ascii="FrankRuehl" w:hAnsi="FrankRuehl" w:cs="FrankRuehl"/>
          <w:sz w:val="28"/>
          <w:szCs w:val="28"/>
          <w:rtl/>
        </w:rPr>
        <w:t>ב</w:t>
      </w:r>
      <w:r w:rsidR="003A00F5" w:rsidRPr="001A0B66">
        <w:rPr>
          <w:rFonts w:ascii="FrankRuehl" w:hAnsi="FrankRuehl" w:cs="FrankRuehl"/>
          <w:sz w:val="28"/>
          <w:szCs w:val="28"/>
          <w:rtl/>
        </w:rPr>
        <w:t>שאלות פרשניות, בין היתר של תרגום מערבית, ש</w:t>
      </w:r>
      <w:r w:rsidR="00AE1C31" w:rsidRPr="001A0B66">
        <w:rPr>
          <w:rFonts w:ascii="FrankRuehl" w:hAnsi="FrankRuehl" w:cs="FrankRuehl"/>
          <w:sz w:val="28"/>
          <w:szCs w:val="28"/>
          <w:rtl/>
        </w:rPr>
        <w:t>עבורן יש לאפשר, במקרה הצורך, עדויות מומחים.</w:t>
      </w:r>
      <w:r w:rsidR="003A00F5" w:rsidRPr="001A0B66">
        <w:rPr>
          <w:rFonts w:ascii="FrankRuehl" w:hAnsi="FrankRuehl" w:cs="FrankRuehl"/>
          <w:sz w:val="28"/>
          <w:szCs w:val="28"/>
          <w:rtl/>
        </w:rPr>
        <w:t xml:space="preserve"> </w:t>
      </w:r>
      <w:r w:rsidR="00AE1C31" w:rsidRPr="001A0B66">
        <w:rPr>
          <w:rFonts w:ascii="FrankRuehl" w:hAnsi="FrankRuehl" w:cs="FrankRuehl"/>
          <w:sz w:val="28"/>
          <w:szCs w:val="28"/>
          <w:rtl/>
        </w:rPr>
        <w:t>ת</w:t>
      </w:r>
      <w:r w:rsidR="003A00F5" w:rsidRPr="001A0B66">
        <w:rPr>
          <w:rFonts w:ascii="FrankRuehl" w:hAnsi="FrankRuehl" w:cs="FrankRuehl"/>
          <w:sz w:val="28"/>
          <w:szCs w:val="28"/>
          <w:rtl/>
        </w:rPr>
        <w:t xml:space="preserve">יתכן עדות מומחה </w:t>
      </w:r>
      <w:r w:rsidR="00AE1C31" w:rsidRPr="001A0B66">
        <w:rPr>
          <w:rFonts w:ascii="FrankRuehl" w:hAnsi="FrankRuehl" w:cs="FrankRuehl"/>
          <w:sz w:val="28"/>
          <w:szCs w:val="28"/>
          <w:rtl/>
        </w:rPr>
        <w:t>ש</w:t>
      </w:r>
      <w:r w:rsidR="003A00F5" w:rsidRPr="001A0B66">
        <w:rPr>
          <w:rFonts w:ascii="FrankRuehl" w:hAnsi="FrankRuehl" w:cs="FrankRuehl"/>
          <w:sz w:val="28"/>
          <w:szCs w:val="28"/>
          <w:rtl/>
        </w:rPr>
        <w:t>תישמע רק בנוכחות המדינה ועורך הדין המיוחד ביחס לפרשנותן של ראיות שנותרות חסויות.</w:t>
      </w:r>
      <w:r w:rsidR="00DE422B" w:rsidRPr="001A0B66">
        <w:rPr>
          <w:rFonts w:ascii="FrankRuehl" w:hAnsi="FrankRuehl" w:cs="FrankRuehl"/>
          <w:sz w:val="28"/>
          <w:szCs w:val="28"/>
          <w:rtl/>
        </w:rPr>
        <w:t xml:space="preserve"> יתר על כן</w:t>
      </w:r>
      <w:r w:rsidR="007B10B4" w:rsidRPr="001A0B66">
        <w:rPr>
          <w:rFonts w:ascii="FrankRuehl" w:hAnsi="FrankRuehl" w:cs="FrankRuehl"/>
          <w:sz w:val="28"/>
          <w:szCs w:val="28"/>
          <w:rtl/>
        </w:rPr>
        <w:t>, עורך הדין המיוחד, ברשות בית המשפט, יוכל לזמן לעדות ולחקירה חוקר מסוים של הרשות החוקרת, שהרלבנטיות של עדותו מתגלה בתוך הדיון</w:t>
      </w:r>
      <w:r w:rsidR="00BA6EE8">
        <w:rPr>
          <w:rFonts w:ascii="FrankRuehl" w:hAnsi="FrankRuehl" w:cs="FrankRuehl"/>
          <w:sz w:val="28"/>
          <w:szCs w:val="28"/>
          <w:rtl/>
        </w:rPr>
        <w:t>; זאת מעבר לחקירה השגורה של איש השב"כ המגיע לדיון עם הראיות החסויות</w:t>
      </w:r>
      <w:r w:rsidR="007B10B4" w:rsidRPr="001A0B66">
        <w:rPr>
          <w:rFonts w:ascii="FrankRuehl" w:hAnsi="FrankRuehl" w:cs="FrankRuehl"/>
          <w:sz w:val="28"/>
          <w:szCs w:val="28"/>
          <w:rtl/>
        </w:rPr>
        <w:t>.</w:t>
      </w:r>
    </w:p>
    <w:p w14:paraId="6C3498FD" w14:textId="77777777" w:rsidR="004F4EEC" w:rsidRPr="001A0B66" w:rsidRDefault="00617EA2" w:rsidP="00F307FB">
      <w:pPr>
        <w:pStyle w:val="Heading4"/>
        <w:spacing w:line="276" w:lineRule="auto"/>
        <w:rPr>
          <w:rFonts w:ascii="FrankRuehl" w:hAnsi="FrankRuehl" w:cs="FrankRuehl"/>
          <w:sz w:val="28"/>
          <w:szCs w:val="28"/>
          <w:rtl/>
        </w:rPr>
      </w:pPr>
      <w:bookmarkStart w:id="76" w:name="_Hlk41370024"/>
      <w:bookmarkStart w:id="77" w:name="_Toc52984565"/>
      <w:bookmarkStart w:id="78" w:name="_Toc53124431"/>
      <w:bookmarkStart w:id="79" w:name="_Toc53143382"/>
      <w:r w:rsidRPr="001A0B66">
        <w:rPr>
          <w:rFonts w:ascii="FrankRuehl" w:hAnsi="FrankRuehl" w:cs="FrankRuehl"/>
          <w:sz w:val="28"/>
          <w:szCs w:val="28"/>
          <w:rtl/>
        </w:rPr>
        <w:t>המנגנון ל</w:t>
      </w:r>
      <w:r w:rsidR="00413B01" w:rsidRPr="001A0B66">
        <w:rPr>
          <w:rFonts w:ascii="FrankRuehl" w:hAnsi="FrankRuehl" w:cs="FrankRuehl"/>
          <w:sz w:val="28"/>
          <w:szCs w:val="28"/>
          <w:rtl/>
        </w:rPr>
        <w:t>מינוי עורכי הדין המיוחדים</w:t>
      </w:r>
      <w:r w:rsidRPr="001A0B66">
        <w:rPr>
          <w:rFonts w:ascii="FrankRuehl" w:hAnsi="FrankRuehl" w:cs="FrankRuehl"/>
          <w:sz w:val="28"/>
          <w:szCs w:val="28"/>
          <w:rtl/>
        </w:rPr>
        <w:t xml:space="preserve">: </w:t>
      </w:r>
      <w:r w:rsidR="00053BC7" w:rsidRPr="001A0B66">
        <w:rPr>
          <w:rFonts w:ascii="FrankRuehl" w:hAnsi="FrankRuehl" w:cs="FrankRuehl"/>
          <w:sz w:val="28"/>
          <w:szCs w:val="28"/>
          <w:rtl/>
        </w:rPr>
        <w:t xml:space="preserve">תפקיד </w:t>
      </w:r>
      <w:r w:rsidR="006A3258" w:rsidRPr="001A0B66">
        <w:rPr>
          <w:rFonts w:ascii="FrankRuehl" w:hAnsi="FrankRuehl" w:cs="FrankRuehl"/>
          <w:sz w:val="28"/>
          <w:szCs w:val="28"/>
          <w:rtl/>
        </w:rPr>
        <w:t>ה</w:t>
      </w:r>
      <w:r w:rsidR="00053BC7" w:rsidRPr="001A0B66">
        <w:rPr>
          <w:rFonts w:ascii="FrankRuehl" w:hAnsi="FrankRuehl" w:cs="FrankRuehl"/>
          <w:sz w:val="28"/>
          <w:szCs w:val="28"/>
          <w:rtl/>
        </w:rPr>
        <w:t>סנגוריה הציבורית</w:t>
      </w:r>
      <w:bookmarkEnd w:id="76"/>
      <w:bookmarkEnd w:id="77"/>
      <w:bookmarkEnd w:id="78"/>
      <w:bookmarkEnd w:id="79"/>
    </w:p>
    <w:p w14:paraId="38DE1AFF" w14:textId="77777777" w:rsidR="00C456FB" w:rsidRPr="001A0B66" w:rsidRDefault="006362E5" w:rsidP="00F307FB">
      <w:pPr>
        <w:pStyle w:val="a1"/>
        <w:spacing w:line="276" w:lineRule="auto"/>
        <w:rPr>
          <w:rFonts w:ascii="FrankRuehl" w:hAnsi="FrankRuehl" w:cs="FrankRuehl"/>
          <w:sz w:val="28"/>
          <w:szCs w:val="28"/>
        </w:rPr>
      </w:pPr>
      <w:r w:rsidRPr="001A0B66">
        <w:rPr>
          <w:rFonts w:ascii="FrankRuehl" w:hAnsi="FrankRuehl" w:cs="FrankRuehl"/>
          <w:sz w:val="28"/>
          <w:szCs w:val="28"/>
          <w:rtl/>
        </w:rPr>
        <w:t xml:space="preserve">נפתח בבחינה השוואתית. </w:t>
      </w:r>
      <w:r w:rsidR="00AD2576" w:rsidRPr="001A0B66">
        <w:rPr>
          <w:rFonts w:ascii="FrankRuehl" w:hAnsi="FrankRuehl" w:cs="FrankRuehl"/>
          <w:sz w:val="28"/>
          <w:szCs w:val="28"/>
          <w:rtl/>
        </w:rPr>
        <w:t xml:space="preserve">בקנדה, </w:t>
      </w:r>
      <w:r w:rsidR="00C456FB" w:rsidRPr="001A0B66">
        <w:rPr>
          <w:rFonts w:ascii="FrankRuehl" w:hAnsi="FrankRuehl" w:cs="FrankRuehl"/>
          <w:sz w:val="28"/>
          <w:szCs w:val="28"/>
          <w:rtl/>
        </w:rPr>
        <w:t>מינוי</w:t>
      </w:r>
      <w:r w:rsidR="00AD2576" w:rsidRPr="001A0B66">
        <w:rPr>
          <w:rFonts w:ascii="FrankRuehl" w:hAnsi="FrankRuehl" w:cs="FrankRuehl"/>
          <w:sz w:val="28"/>
          <w:szCs w:val="28"/>
          <w:rtl/>
        </w:rPr>
        <w:t>ם</w:t>
      </w:r>
      <w:r w:rsidR="00C456FB" w:rsidRPr="001A0B66">
        <w:rPr>
          <w:rFonts w:ascii="FrankRuehl" w:hAnsi="FrankRuehl" w:cs="FrankRuehl"/>
          <w:sz w:val="28"/>
          <w:szCs w:val="28"/>
          <w:rtl/>
        </w:rPr>
        <w:t xml:space="preserve"> של עורכי דין מיוחדים</w:t>
      </w:r>
      <w:r w:rsidR="00027369" w:rsidRPr="001A0B66">
        <w:rPr>
          <w:rFonts w:ascii="FrankRuehl" w:hAnsi="FrankRuehl" w:cs="FrankRuehl"/>
          <w:sz w:val="28"/>
          <w:szCs w:val="28"/>
          <w:rtl/>
        </w:rPr>
        <w:t xml:space="preserve"> נעשה </w:t>
      </w:r>
      <w:r w:rsidR="00C456FB" w:rsidRPr="001A0B66">
        <w:rPr>
          <w:rFonts w:ascii="FrankRuehl" w:hAnsi="FrankRuehl" w:cs="FrankRuehl"/>
          <w:sz w:val="28"/>
          <w:szCs w:val="28"/>
          <w:rtl/>
        </w:rPr>
        <w:t>באמצעות רשימה שמפרסם שר המשפטים. הבחירה למנותם נעשית בהתאם לקריטריונים שונים: סיווג ב</w:t>
      </w:r>
      <w:r w:rsidR="00AD2576" w:rsidRPr="001A0B66">
        <w:rPr>
          <w:rFonts w:ascii="FrankRuehl" w:hAnsi="FrankRuehl" w:cs="FrankRuehl"/>
          <w:sz w:val="28"/>
          <w:szCs w:val="28"/>
          <w:rtl/>
        </w:rPr>
        <w:t>י</w:t>
      </w:r>
      <w:r w:rsidR="00C456FB" w:rsidRPr="001A0B66">
        <w:rPr>
          <w:rFonts w:ascii="FrankRuehl" w:hAnsi="FrankRuehl" w:cs="FrankRuehl"/>
          <w:sz w:val="28"/>
          <w:szCs w:val="28"/>
          <w:rtl/>
        </w:rPr>
        <w:t>טחוני גבוה; ה</w:t>
      </w:r>
      <w:r w:rsidR="00AD2576" w:rsidRPr="001A0B66">
        <w:rPr>
          <w:rFonts w:ascii="FrankRuehl" w:hAnsi="FrankRuehl" w:cs="FrankRuehl"/>
          <w:sz w:val="28"/>
          <w:szCs w:val="28"/>
          <w:rtl/>
        </w:rPr>
        <w:t>י</w:t>
      </w:r>
      <w:r w:rsidR="00C456FB" w:rsidRPr="001A0B66">
        <w:rPr>
          <w:rFonts w:ascii="FrankRuehl" w:hAnsi="FrankRuehl" w:cs="FrankRuehl"/>
          <w:sz w:val="28"/>
          <w:szCs w:val="28"/>
          <w:rtl/>
        </w:rPr>
        <w:t xml:space="preserve">עדר ניגוד עניינים </w:t>
      </w:r>
      <w:r w:rsidR="00AD2576" w:rsidRPr="001A0B66">
        <w:rPr>
          <w:rFonts w:ascii="FrankRuehl" w:hAnsi="FrankRuehl" w:cs="FrankRuehl"/>
          <w:sz w:val="28"/>
          <w:szCs w:val="28"/>
          <w:rtl/>
        </w:rPr>
        <w:t xml:space="preserve">עם </w:t>
      </w:r>
      <w:r w:rsidR="00C456FB" w:rsidRPr="001A0B66">
        <w:rPr>
          <w:rFonts w:ascii="FrankRuehl" w:hAnsi="FrankRuehl" w:cs="FrankRuehl"/>
          <w:sz w:val="28"/>
          <w:szCs w:val="28"/>
          <w:rtl/>
        </w:rPr>
        <w:t>הרשות או הלקוח; ניסיון בליטיגציה (ורצוי בתיקים ביטחוניים); אפשר שתהיה דרישה לידיעת שפה נוספת, לפי מיומנות השפ</w:t>
      </w:r>
      <w:r w:rsidR="00AD2576" w:rsidRPr="001A0B66">
        <w:rPr>
          <w:rFonts w:ascii="FrankRuehl" w:hAnsi="FrankRuehl" w:cs="FrankRuehl"/>
          <w:sz w:val="28"/>
          <w:szCs w:val="28"/>
          <w:rtl/>
        </w:rPr>
        <w:t>ה</w:t>
      </w:r>
      <w:r w:rsidR="00C456FB" w:rsidRPr="001A0B66">
        <w:rPr>
          <w:rFonts w:ascii="FrankRuehl" w:hAnsi="FrankRuehl" w:cs="FrankRuehl"/>
          <w:sz w:val="28"/>
          <w:szCs w:val="28"/>
          <w:rtl/>
        </w:rPr>
        <w:t xml:space="preserve"> של הלקוח.</w:t>
      </w:r>
      <w:r w:rsidR="00C456FB" w:rsidRPr="001A0B66">
        <w:rPr>
          <w:rStyle w:val="FootnoteReference"/>
          <w:rFonts w:ascii="FrankRuehl" w:hAnsi="FrankRuehl" w:cs="FrankRuehl"/>
          <w:sz w:val="28"/>
          <w:szCs w:val="28"/>
          <w:rtl/>
        </w:rPr>
        <w:footnoteReference w:id="89"/>
      </w:r>
    </w:p>
    <w:p w14:paraId="3BBE707E" w14:textId="77777777" w:rsidR="00874A2F" w:rsidRPr="001A0B66" w:rsidRDefault="00874A2F" w:rsidP="00F307FB">
      <w:pPr>
        <w:pStyle w:val="a0"/>
        <w:spacing w:line="276" w:lineRule="auto"/>
        <w:rPr>
          <w:rFonts w:ascii="FrankRuehl" w:hAnsi="FrankRuehl" w:cs="FrankRuehl"/>
          <w:sz w:val="28"/>
          <w:szCs w:val="28"/>
          <w:rtl/>
        </w:rPr>
      </w:pPr>
      <w:bookmarkStart w:id="81" w:name="_Hlk67583799"/>
      <w:r w:rsidRPr="001A0B66">
        <w:rPr>
          <w:rFonts w:ascii="FrankRuehl" w:hAnsi="FrankRuehl" w:cs="FrankRuehl"/>
          <w:sz w:val="28"/>
          <w:szCs w:val="28"/>
          <w:rtl/>
        </w:rPr>
        <w:t>בבריטניה, עורכת דין שמעוניינת להתמנות לתפקיד עורכת דין מיוחדת נדרשת לעמוד בכמה תנאים: חמש שנות ניסיון בעריכת דין, מגורים בלונדון ושלוש המלצות – לפחות אחת מטעם שופט.</w:t>
      </w:r>
      <w:r w:rsidR="008B2F2D" w:rsidRPr="001A0B66">
        <w:rPr>
          <w:rStyle w:val="FootnoteReference"/>
          <w:rFonts w:ascii="FrankRuehl" w:hAnsi="FrankRuehl" w:cs="FrankRuehl"/>
          <w:sz w:val="28"/>
          <w:szCs w:val="28"/>
          <w:rtl/>
        </w:rPr>
        <w:footnoteReference w:id="90"/>
      </w:r>
      <w:r w:rsidRPr="001A0B66">
        <w:rPr>
          <w:rFonts w:ascii="FrankRuehl" w:hAnsi="FrankRuehl" w:cs="FrankRuehl"/>
          <w:sz w:val="28"/>
          <w:szCs w:val="28"/>
          <w:rtl/>
        </w:rPr>
        <w:t xml:space="preserve"> וועדה מיוחדת שחבריה הם אנשי פרקליטות ובעלי תפקידים בכירים בממשלה הבריטית היא שמאשרת את המינוי. היחידה הממשלתית האחראית על מערך הסנגורים המיוחדים ה</w:t>
      </w:r>
      <w:r w:rsidR="00BE63A9">
        <w:rPr>
          <w:rFonts w:ascii="FrankRuehl" w:hAnsi="FrankRuehl" w:cs="FrankRuehl"/>
          <w:sz w:val="28"/>
          <w:szCs w:val="28"/>
          <w:rtl/>
        </w:rPr>
        <w:t>י</w:t>
      </w:r>
      <w:r w:rsidRPr="001A0B66">
        <w:rPr>
          <w:rFonts w:ascii="FrankRuehl" w:hAnsi="FrankRuehl" w:cs="FrankRuehl"/>
          <w:sz w:val="28"/>
          <w:szCs w:val="28"/>
          <w:rtl/>
        </w:rPr>
        <w:t>א "המשרד לניהול סנגורים מיוחדים" (</w:t>
      </w:r>
      <w:r w:rsidRPr="001A0B66">
        <w:rPr>
          <w:rFonts w:ascii="FrankRuehl" w:hAnsi="FrankRuehl" w:cs="FrankRuehl"/>
          <w:sz w:val="28"/>
          <w:szCs w:val="28"/>
        </w:rPr>
        <w:t>the special advocates' support office – SASO</w:t>
      </w:r>
      <w:r w:rsidRPr="001A0B66">
        <w:rPr>
          <w:rFonts w:ascii="FrankRuehl" w:hAnsi="FrankRuehl" w:cs="FrankRuehl"/>
          <w:sz w:val="28"/>
          <w:szCs w:val="28"/>
          <w:rtl/>
        </w:rPr>
        <w:t xml:space="preserve">) היושבת תחת </w:t>
      </w:r>
      <w:r w:rsidR="002F7D21" w:rsidRPr="001A0B66">
        <w:rPr>
          <w:rFonts w:ascii="FrankRuehl" w:hAnsi="FrankRuehl" w:cs="FrankRuehl"/>
          <w:sz w:val="28"/>
          <w:szCs w:val="28"/>
          <w:rtl/>
        </w:rPr>
        <w:t>שר המשפטים</w:t>
      </w:r>
      <w:r w:rsidRPr="001A0B66">
        <w:rPr>
          <w:rFonts w:ascii="FrankRuehl" w:hAnsi="FrankRuehl" w:cs="FrankRuehl"/>
          <w:sz w:val="28"/>
          <w:szCs w:val="28"/>
          <w:rtl/>
        </w:rPr>
        <w:t>.</w:t>
      </w:r>
      <w:r w:rsidR="00BE63A9" w:rsidRPr="001A0B66">
        <w:rPr>
          <w:rStyle w:val="FootnoteReference"/>
          <w:rFonts w:ascii="FrankRuehl" w:hAnsi="FrankRuehl" w:cs="FrankRuehl"/>
          <w:sz w:val="28"/>
          <w:szCs w:val="28"/>
          <w:rtl/>
        </w:rPr>
        <w:footnoteReference w:id="91"/>
      </w:r>
      <w:r w:rsidRPr="001A0B66">
        <w:rPr>
          <w:rFonts w:ascii="FrankRuehl" w:hAnsi="FrankRuehl" w:cs="FrankRuehl"/>
          <w:sz w:val="28"/>
          <w:szCs w:val="28"/>
          <w:rtl/>
        </w:rPr>
        <w:t xml:space="preserve"> מינוי של עורך</w:t>
      </w:r>
      <w:r w:rsidR="00BE63A9">
        <w:rPr>
          <w:rFonts w:ascii="FrankRuehl" w:hAnsi="FrankRuehl" w:cs="FrankRuehl"/>
          <w:sz w:val="28"/>
          <w:szCs w:val="28"/>
          <w:rtl/>
        </w:rPr>
        <w:t xml:space="preserve"> דין</w:t>
      </w:r>
      <w:r w:rsidRPr="001A0B66">
        <w:rPr>
          <w:rFonts w:ascii="FrankRuehl" w:hAnsi="FrankRuehl" w:cs="FrankRuehl"/>
          <w:sz w:val="28"/>
          <w:szCs w:val="28"/>
          <w:rtl/>
        </w:rPr>
        <w:t xml:space="preserve"> כסנגור מיוחד למקרה ספציפי נעשה כאשר אדם שכנגדו מופעלת סמכות הנשענת על ראיות חסויות בוחר מתוך מאגר הסנגורים המיוחדים, והמשרד הנזכר הוא שמיידע את האדם על זכותו לייצוג שכזה. האדם אמור לבחור שני סנגורים, האחד סנגור מוביל והשני תומך; ואלו ייאותו לייצגו בהתאם לזמינותם </w:t>
      </w:r>
      <w:r w:rsidRPr="008B2F2D">
        <w:rPr>
          <w:rFonts w:ascii="FrankRuehl" w:hAnsi="FrankRuehl" w:cs="FrankRuehl"/>
          <w:sz w:val="28"/>
          <w:szCs w:val="28"/>
          <w:rtl/>
        </w:rPr>
        <w:t>ובהעדר ניגוד עניינים</w:t>
      </w:r>
      <w:r w:rsidR="00C456FB" w:rsidRPr="008B2F2D">
        <w:rPr>
          <w:rFonts w:ascii="FrankRuehl" w:hAnsi="FrankRuehl" w:cs="FrankRuehl"/>
          <w:sz w:val="28"/>
          <w:szCs w:val="28"/>
          <w:rtl/>
        </w:rPr>
        <w:t>.</w:t>
      </w:r>
      <w:r w:rsidR="00BE63A9" w:rsidRPr="008B2F2D">
        <w:rPr>
          <w:rStyle w:val="FootnoteReference"/>
          <w:rFonts w:ascii="FrankRuehl" w:hAnsi="FrankRuehl" w:cs="FrankRuehl"/>
          <w:sz w:val="28"/>
          <w:szCs w:val="28"/>
          <w:rtl/>
        </w:rPr>
        <w:footnoteReference w:id="92"/>
      </w:r>
      <w:r w:rsidR="008E33B0" w:rsidRPr="001A0B66">
        <w:rPr>
          <w:rFonts w:ascii="FrankRuehl" w:hAnsi="FrankRuehl" w:cs="FrankRuehl"/>
          <w:sz w:val="28"/>
          <w:szCs w:val="28"/>
          <w:rtl/>
        </w:rPr>
        <w:t xml:space="preserve"> </w:t>
      </w:r>
      <w:bookmarkEnd w:id="81"/>
    </w:p>
    <w:p w14:paraId="13EE7309" w14:textId="77777777" w:rsidR="00C456FB" w:rsidRPr="001A0B66" w:rsidRDefault="00C456FB" w:rsidP="00F307FB">
      <w:pPr>
        <w:pStyle w:val="a0"/>
        <w:spacing w:line="276" w:lineRule="auto"/>
        <w:rPr>
          <w:rFonts w:ascii="FrankRuehl" w:hAnsi="FrankRuehl" w:cs="FrankRuehl"/>
          <w:sz w:val="28"/>
          <w:szCs w:val="28"/>
        </w:rPr>
      </w:pPr>
      <w:r w:rsidRPr="001A0B66">
        <w:rPr>
          <w:rFonts w:ascii="FrankRuehl" w:hAnsi="FrankRuehl" w:cs="FrankRuehl"/>
          <w:sz w:val="28"/>
          <w:szCs w:val="28"/>
          <w:rtl/>
        </w:rPr>
        <w:t>מנגנון הסנגורים ה</w:t>
      </w:r>
      <w:r w:rsidR="00F74C6E" w:rsidRPr="001A0B66">
        <w:rPr>
          <w:rFonts w:ascii="FrankRuehl" w:hAnsi="FrankRuehl" w:cs="FrankRuehl"/>
          <w:sz w:val="28"/>
          <w:szCs w:val="28"/>
          <w:rtl/>
        </w:rPr>
        <w:t>מיוחדים</w:t>
      </w:r>
      <w:r w:rsidRPr="001A0B66">
        <w:rPr>
          <w:rFonts w:ascii="FrankRuehl" w:hAnsi="FrankRuehl" w:cs="FrankRuehl"/>
          <w:sz w:val="28"/>
          <w:szCs w:val="28"/>
          <w:rtl/>
        </w:rPr>
        <w:t xml:space="preserve"> הבריטי פיתח פרוצדורה וקריטריונים שנועדו למשוך אליו עורכי דין העוסקים בזכויות אדם ולמנוע סינון לפי עמדה פוליטית:</w:t>
      </w:r>
      <w:r w:rsidR="00AB67D7" w:rsidRPr="001A0B66">
        <w:rPr>
          <w:rStyle w:val="FootnoteReference"/>
          <w:rFonts w:ascii="FrankRuehl" w:hAnsi="FrankRuehl" w:cs="FrankRuehl"/>
          <w:sz w:val="28"/>
          <w:szCs w:val="28"/>
          <w:rtl/>
        </w:rPr>
        <w:footnoteReference w:id="93"/>
      </w:r>
      <w:r w:rsidRPr="001A0B66">
        <w:rPr>
          <w:rFonts w:ascii="FrankRuehl" w:hAnsi="FrankRuehl" w:cs="FrankRuehl"/>
          <w:sz w:val="28"/>
          <w:szCs w:val="28"/>
          <w:rtl/>
        </w:rPr>
        <w:t xml:space="preserve"> עורכי דין מעוניינים </w:t>
      </w:r>
      <w:r w:rsidR="00FB523B" w:rsidRPr="001A0B66">
        <w:rPr>
          <w:rFonts w:ascii="FrankRuehl" w:hAnsi="FrankRuehl" w:cs="FrankRuehl"/>
          <w:sz w:val="28"/>
          <w:szCs w:val="28"/>
          <w:rtl/>
        </w:rPr>
        <w:t>מגישים מועמדות למנגנון, ו</w:t>
      </w:r>
      <w:r w:rsidRPr="001A0B66">
        <w:rPr>
          <w:rFonts w:ascii="FrankRuehl" w:hAnsi="FrankRuehl" w:cs="FrankRuehl"/>
          <w:sz w:val="28"/>
          <w:szCs w:val="28"/>
          <w:rtl/>
        </w:rPr>
        <w:t>חלק מההמלצות וקורות החיים נשלחים לבדיקת רקע (</w:t>
      </w:r>
      <w:r w:rsidRPr="001A0B66">
        <w:rPr>
          <w:rFonts w:ascii="FrankRuehl" w:hAnsi="FrankRuehl" w:cs="FrankRuehl"/>
          <w:sz w:val="28"/>
          <w:szCs w:val="28"/>
        </w:rPr>
        <w:t>background check</w:t>
      </w:r>
      <w:r w:rsidRPr="001A0B66">
        <w:rPr>
          <w:rFonts w:ascii="FrankRuehl" w:hAnsi="FrankRuehl" w:cs="FrankRuehl"/>
          <w:sz w:val="28"/>
          <w:szCs w:val="28"/>
          <w:rtl/>
        </w:rPr>
        <w:t xml:space="preserve">). </w:t>
      </w:r>
      <w:proofErr w:type="spellStart"/>
      <w:r w:rsidRPr="001A0B66">
        <w:rPr>
          <w:rFonts w:ascii="FrankRuehl" w:hAnsi="FrankRuehl" w:cs="FrankRuehl"/>
          <w:sz w:val="28"/>
          <w:szCs w:val="28"/>
          <w:rtl/>
        </w:rPr>
        <w:t>פורסיז</w:t>
      </w:r>
      <w:proofErr w:type="spellEnd"/>
      <w:r w:rsidRPr="001A0B66">
        <w:rPr>
          <w:rFonts w:ascii="FrankRuehl" w:hAnsi="FrankRuehl" w:cs="FrankRuehl"/>
          <w:sz w:val="28"/>
          <w:szCs w:val="28"/>
          <w:rtl/>
        </w:rPr>
        <w:t xml:space="preserve"> </w:t>
      </w:r>
      <w:proofErr w:type="spellStart"/>
      <w:r w:rsidRPr="001A0B66">
        <w:rPr>
          <w:rFonts w:ascii="FrankRuehl" w:hAnsi="FrankRuehl" w:cs="FrankRuehl"/>
          <w:sz w:val="28"/>
          <w:szCs w:val="28"/>
          <w:rtl/>
        </w:rPr>
        <w:t>וולדמן</w:t>
      </w:r>
      <w:proofErr w:type="spellEnd"/>
      <w:r w:rsidRPr="001A0B66">
        <w:rPr>
          <w:rFonts w:ascii="FrankRuehl" w:hAnsi="FrankRuehl" w:cs="FrankRuehl"/>
          <w:sz w:val="28"/>
          <w:szCs w:val="28"/>
          <w:rtl/>
        </w:rPr>
        <w:t xml:space="preserve"> פורסים </w:t>
      </w:r>
      <w:r w:rsidR="00AD2576" w:rsidRPr="001A0B66">
        <w:rPr>
          <w:rFonts w:ascii="FrankRuehl" w:hAnsi="FrankRuehl" w:cs="FrankRuehl"/>
          <w:sz w:val="28"/>
          <w:szCs w:val="28"/>
          <w:rtl/>
        </w:rPr>
        <w:t xml:space="preserve">כמה </w:t>
      </w:r>
      <w:r w:rsidRPr="001A0B66">
        <w:rPr>
          <w:rFonts w:ascii="FrankRuehl" w:hAnsi="FrankRuehl" w:cs="FrankRuehl"/>
          <w:sz w:val="28"/>
          <w:szCs w:val="28"/>
          <w:rtl/>
        </w:rPr>
        <w:t xml:space="preserve">סוגיות שמעסיקות את המשפט הבריטי בהקשר זה: גיוון מאגר עורכי הדין </w:t>
      </w:r>
      <w:r w:rsidRPr="008B2F2D">
        <w:rPr>
          <w:rFonts w:ascii="FrankRuehl" w:hAnsi="FrankRuehl" w:cs="FrankRuehl"/>
          <w:sz w:val="28"/>
          <w:szCs w:val="28"/>
          <w:rtl/>
        </w:rPr>
        <w:t>וניסיון מקצועי,</w:t>
      </w:r>
      <w:r w:rsidRPr="001A0B66">
        <w:rPr>
          <w:rFonts w:ascii="FrankRuehl" w:hAnsi="FrankRuehl" w:cs="FrankRuehl"/>
          <w:sz w:val="28"/>
          <w:szCs w:val="28"/>
          <w:rtl/>
        </w:rPr>
        <w:t xml:space="preserve"> עצמאות מהרשות, מומחיות בסוגיות ביטחוניות ומודיעיניות, רמת הסיווג הביטחוני. על יסוד התמונה הרחבה הז</w:t>
      </w:r>
      <w:r w:rsidR="00AD2576" w:rsidRPr="001A0B66">
        <w:rPr>
          <w:rFonts w:ascii="FrankRuehl" w:hAnsi="FrankRuehl" w:cs="FrankRuehl"/>
          <w:sz w:val="28"/>
          <w:szCs w:val="28"/>
          <w:rtl/>
        </w:rPr>
        <w:t>את</w:t>
      </w:r>
      <w:r w:rsidRPr="001A0B66">
        <w:rPr>
          <w:rFonts w:ascii="FrankRuehl" w:hAnsi="FrankRuehl" w:cs="FrankRuehl"/>
          <w:sz w:val="28"/>
          <w:szCs w:val="28"/>
          <w:rtl/>
        </w:rPr>
        <w:t xml:space="preserve"> הם מבהירים כי עורכי דין ש</w:t>
      </w:r>
      <w:r w:rsidR="00AD2576" w:rsidRPr="001A0B66">
        <w:rPr>
          <w:rFonts w:ascii="FrankRuehl" w:hAnsi="FrankRuehl" w:cs="FrankRuehl"/>
          <w:sz w:val="28"/>
          <w:szCs w:val="28"/>
          <w:rtl/>
        </w:rPr>
        <w:t xml:space="preserve">יש </w:t>
      </w:r>
      <w:r w:rsidRPr="001A0B66">
        <w:rPr>
          <w:rFonts w:ascii="FrankRuehl" w:hAnsi="FrankRuehl" w:cs="FrankRuehl"/>
          <w:sz w:val="28"/>
          <w:szCs w:val="28"/>
          <w:rtl/>
        </w:rPr>
        <w:t xml:space="preserve">להם מוניטין בתחום זכויות האדם או שידועים בהתנגדותם למדיניותה של הממשלה אינם נפסלים. הסיווג </w:t>
      </w:r>
      <w:r w:rsidR="00AB67D7" w:rsidRPr="001A0B66">
        <w:rPr>
          <w:rFonts w:ascii="FrankRuehl" w:hAnsi="FrankRuehl" w:cs="FrankRuehl"/>
          <w:sz w:val="28"/>
          <w:szCs w:val="28"/>
          <w:rtl/>
        </w:rPr>
        <w:t>ה</w:t>
      </w:r>
      <w:r w:rsidRPr="001A0B66">
        <w:rPr>
          <w:rFonts w:ascii="FrankRuehl" w:hAnsi="FrankRuehl" w:cs="FrankRuehl"/>
          <w:sz w:val="28"/>
          <w:szCs w:val="28"/>
          <w:rtl/>
        </w:rPr>
        <w:t>ב</w:t>
      </w:r>
      <w:r w:rsidR="00AB67D7" w:rsidRPr="001A0B66">
        <w:rPr>
          <w:rFonts w:ascii="FrankRuehl" w:hAnsi="FrankRuehl" w:cs="FrankRuehl"/>
          <w:sz w:val="28"/>
          <w:szCs w:val="28"/>
          <w:rtl/>
        </w:rPr>
        <w:t>י</w:t>
      </w:r>
      <w:r w:rsidRPr="001A0B66">
        <w:rPr>
          <w:rFonts w:ascii="FrankRuehl" w:hAnsi="FrankRuehl" w:cs="FrankRuehl"/>
          <w:sz w:val="28"/>
          <w:szCs w:val="28"/>
          <w:rtl/>
        </w:rPr>
        <w:t xml:space="preserve">טחוני לא </w:t>
      </w:r>
      <w:r w:rsidR="00AD2576" w:rsidRPr="001A0B66">
        <w:rPr>
          <w:rFonts w:ascii="FrankRuehl" w:hAnsi="FrankRuehl" w:cs="FrankRuehl"/>
          <w:sz w:val="28"/>
          <w:szCs w:val="28"/>
          <w:rtl/>
        </w:rPr>
        <w:t>נועד ל</w:t>
      </w:r>
      <w:r w:rsidRPr="001A0B66">
        <w:rPr>
          <w:rFonts w:ascii="FrankRuehl" w:hAnsi="FrankRuehl" w:cs="FrankRuehl"/>
          <w:sz w:val="28"/>
          <w:szCs w:val="28"/>
          <w:rtl/>
        </w:rPr>
        <w:t>בד</w:t>
      </w:r>
      <w:r w:rsidR="00AD2576" w:rsidRPr="001A0B66">
        <w:rPr>
          <w:rFonts w:ascii="FrankRuehl" w:hAnsi="FrankRuehl" w:cs="FrankRuehl"/>
          <w:sz w:val="28"/>
          <w:szCs w:val="28"/>
          <w:rtl/>
        </w:rPr>
        <w:t>ו</w:t>
      </w:r>
      <w:r w:rsidRPr="001A0B66">
        <w:rPr>
          <w:rFonts w:ascii="FrankRuehl" w:hAnsi="FrankRuehl" w:cs="FrankRuehl"/>
          <w:sz w:val="28"/>
          <w:szCs w:val="28"/>
          <w:rtl/>
        </w:rPr>
        <w:t>ק את עברו של המועמד במובן של לקוחות קודמים, אידאולוגיה או נטייה פוליטית. לכן המאגר כולל לא מעט עורכי דין שייצגו בעבר אנשים שהואשמו בזיקה לקבוצות טרור, עובדה שיכולה להגביר את אמינותם בעיני לקוחותיהם הפוטנציאליים.</w:t>
      </w:r>
      <w:r w:rsidR="00D60828" w:rsidRPr="001A0B66">
        <w:rPr>
          <w:rStyle w:val="FootnoteReference"/>
          <w:rFonts w:ascii="FrankRuehl" w:hAnsi="FrankRuehl" w:cs="FrankRuehl"/>
          <w:sz w:val="28"/>
          <w:szCs w:val="28"/>
          <w:rtl/>
        </w:rPr>
        <w:footnoteReference w:id="94"/>
      </w:r>
      <w:r w:rsidRPr="001A0B66">
        <w:rPr>
          <w:rFonts w:ascii="FrankRuehl" w:hAnsi="FrankRuehl" w:cs="FrankRuehl"/>
          <w:sz w:val="28"/>
          <w:szCs w:val="28"/>
          <w:rtl/>
        </w:rPr>
        <w:t xml:space="preserve"> מבחינת הניסיון הקודם, נראה </w:t>
      </w:r>
      <w:r w:rsidR="00AA79E2" w:rsidRPr="001A0B66">
        <w:rPr>
          <w:rFonts w:ascii="FrankRuehl" w:hAnsi="FrankRuehl" w:cs="FrankRuehl"/>
          <w:sz w:val="28"/>
          <w:szCs w:val="28"/>
          <w:rtl/>
        </w:rPr>
        <w:t>שההתמקדות היא</w:t>
      </w:r>
      <w:r w:rsidR="00AD2576" w:rsidRPr="001A0B66">
        <w:rPr>
          <w:rFonts w:ascii="FrankRuehl" w:hAnsi="FrankRuehl" w:cs="FrankRuehl"/>
          <w:sz w:val="28"/>
          <w:szCs w:val="28"/>
          <w:rtl/>
        </w:rPr>
        <w:t xml:space="preserve"> ב</w:t>
      </w:r>
      <w:r w:rsidRPr="001A0B66">
        <w:rPr>
          <w:rFonts w:ascii="FrankRuehl" w:hAnsi="FrankRuehl" w:cs="FrankRuehl"/>
          <w:sz w:val="28"/>
          <w:szCs w:val="28"/>
          <w:rtl/>
        </w:rPr>
        <w:t xml:space="preserve">ניסיון בליטיגציה </w:t>
      </w:r>
      <w:r w:rsidR="00AA79E2" w:rsidRPr="001A0B66">
        <w:rPr>
          <w:rFonts w:ascii="FrankRuehl" w:hAnsi="FrankRuehl" w:cs="FrankRuehl"/>
          <w:sz w:val="28"/>
          <w:szCs w:val="28"/>
          <w:rtl/>
        </w:rPr>
        <w:t xml:space="preserve">יותר </w:t>
      </w:r>
      <w:r w:rsidRPr="001A0B66">
        <w:rPr>
          <w:rFonts w:ascii="FrankRuehl" w:hAnsi="FrankRuehl" w:cs="FrankRuehl"/>
          <w:sz w:val="28"/>
          <w:szCs w:val="28"/>
          <w:rtl/>
        </w:rPr>
        <w:t xml:space="preserve">מאשר </w:t>
      </w:r>
      <w:r w:rsidR="00AD2576" w:rsidRPr="001A0B66">
        <w:rPr>
          <w:rFonts w:ascii="FrankRuehl" w:hAnsi="FrankRuehl" w:cs="FrankRuehl"/>
          <w:sz w:val="28"/>
          <w:szCs w:val="28"/>
          <w:rtl/>
        </w:rPr>
        <w:t>ב</w:t>
      </w:r>
      <w:r w:rsidRPr="001A0B66">
        <w:rPr>
          <w:rFonts w:ascii="FrankRuehl" w:hAnsi="FrankRuehl" w:cs="FrankRuehl"/>
          <w:sz w:val="28"/>
          <w:szCs w:val="28"/>
          <w:rtl/>
        </w:rPr>
        <w:t xml:space="preserve">התנסות בתיקים ביטחוניים. כל הנרשמים משתתפים ביום הדרכה של רשויות הביטחון. הסיווג שלו הם זוכים </w:t>
      </w:r>
      <w:r w:rsidRPr="001A0B66">
        <w:rPr>
          <w:rFonts w:ascii="FrankRuehl" w:hAnsi="FrankRuehl" w:cs="FrankRuehl"/>
          <w:sz w:val="28"/>
          <w:szCs w:val="28"/>
          <w:rtl/>
        </w:rPr>
        <w:lastRenderedPageBreak/>
        <w:t>מבוסס על בחינ</w:t>
      </w:r>
      <w:r w:rsidR="00AD2576" w:rsidRPr="001A0B66">
        <w:rPr>
          <w:rFonts w:ascii="FrankRuehl" w:hAnsi="FrankRuehl" w:cs="FrankRuehl"/>
          <w:sz w:val="28"/>
          <w:szCs w:val="28"/>
          <w:rtl/>
        </w:rPr>
        <w:t>ת</w:t>
      </w:r>
      <w:r w:rsidRPr="001A0B66">
        <w:rPr>
          <w:rFonts w:ascii="FrankRuehl" w:hAnsi="FrankRuehl" w:cs="FrankRuehl"/>
          <w:sz w:val="28"/>
          <w:szCs w:val="28"/>
          <w:rtl/>
        </w:rPr>
        <w:t xml:space="preserve"> מאפיינ</w:t>
      </w:r>
      <w:r w:rsidR="00AD2576" w:rsidRPr="001A0B66">
        <w:rPr>
          <w:rFonts w:ascii="FrankRuehl" w:hAnsi="FrankRuehl" w:cs="FrankRuehl"/>
          <w:sz w:val="28"/>
          <w:szCs w:val="28"/>
          <w:rtl/>
        </w:rPr>
        <w:t>יה</w:t>
      </w:r>
      <w:r w:rsidRPr="001A0B66">
        <w:rPr>
          <w:rFonts w:ascii="FrankRuehl" w:hAnsi="FrankRuehl" w:cs="FrankRuehl"/>
          <w:sz w:val="28"/>
          <w:szCs w:val="28"/>
          <w:rtl/>
        </w:rPr>
        <w:t>ם או התנהגויות</w:t>
      </w:r>
      <w:r w:rsidR="00AA79E2" w:rsidRPr="001A0B66">
        <w:rPr>
          <w:rFonts w:ascii="FrankRuehl" w:hAnsi="FrankRuehl" w:cs="FrankRuehl"/>
          <w:sz w:val="28"/>
          <w:szCs w:val="28"/>
          <w:rtl/>
        </w:rPr>
        <w:t>יה</w:t>
      </w:r>
      <w:r w:rsidRPr="001A0B66">
        <w:rPr>
          <w:rFonts w:ascii="FrankRuehl" w:hAnsi="FrankRuehl" w:cs="FrankRuehl"/>
          <w:sz w:val="28"/>
          <w:szCs w:val="28"/>
          <w:rtl/>
        </w:rPr>
        <w:t xml:space="preserve">ם, </w:t>
      </w:r>
      <w:r w:rsidR="00AD2576" w:rsidRPr="001A0B66">
        <w:rPr>
          <w:rFonts w:ascii="FrankRuehl" w:hAnsi="FrankRuehl" w:cs="FrankRuehl"/>
          <w:sz w:val="28"/>
          <w:szCs w:val="28"/>
          <w:rtl/>
        </w:rPr>
        <w:t>וכן בחינת</w:t>
      </w:r>
      <w:r w:rsidRPr="001A0B66">
        <w:rPr>
          <w:rFonts w:ascii="FrankRuehl" w:hAnsi="FrankRuehl" w:cs="FrankRuehl"/>
          <w:sz w:val="28"/>
          <w:szCs w:val="28"/>
          <w:rtl/>
        </w:rPr>
        <w:t xml:space="preserve"> מצב</w:t>
      </w:r>
      <w:r w:rsidR="00AA79E2" w:rsidRPr="001A0B66">
        <w:rPr>
          <w:rFonts w:ascii="FrankRuehl" w:hAnsi="FrankRuehl" w:cs="FrankRuehl"/>
          <w:sz w:val="28"/>
          <w:szCs w:val="28"/>
          <w:rtl/>
        </w:rPr>
        <w:t>ם</w:t>
      </w:r>
      <w:r w:rsidRPr="001A0B66">
        <w:rPr>
          <w:rFonts w:ascii="FrankRuehl" w:hAnsi="FrankRuehl" w:cs="FrankRuehl"/>
          <w:sz w:val="28"/>
          <w:szCs w:val="28"/>
          <w:rtl/>
        </w:rPr>
        <w:t xml:space="preserve"> הכלכלי והמשפחתי </w:t>
      </w:r>
      <w:r w:rsidR="00AD2576" w:rsidRPr="001A0B66">
        <w:rPr>
          <w:rFonts w:ascii="FrankRuehl" w:hAnsi="FrankRuehl" w:cs="FrankRuehl"/>
          <w:sz w:val="28"/>
          <w:szCs w:val="28"/>
          <w:rtl/>
        </w:rPr>
        <w:t>(</w:t>
      </w:r>
      <w:r w:rsidRPr="001A0B66">
        <w:rPr>
          <w:rFonts w:ascii="FrankRuehl" w:hAnsi="FrankRuehl" w:cs="FrankRuehl"/>
          <w:sz w:val="28"/>
          <w:szCs w:val="28"/>
          <w:rtl/>
        </w:rPr>
        <w:t>שעלול בנסיבות מסוימות להפוך אותם למושאי סחיטה</w:t>
      </w:r>
      <w:r w:rsidR="00AD2576" w:rsidRPr="001A0B66">
        <w:rPr>
          <w:rFonts w:ascii="FrankRuehl" w:hAnsi="FrankRuehl" w:cs="FrankRuehl"/>
          <w:sz w:val="28"/>
          <w:szCs w:val="28"/>
          <w:rtl/>
        </w:rPr>
        <w:t>)</w:t>
      </w:r>
      <w:r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95"/>
      </w:r>
    </w:p>
    <w:p w14:paraId="3DBFCAE7" w14:textId="77777777" w:rsidR="00211A92" w:rsidRPr="001A0B66" w:rsidRDefault="00AD2576"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w:t>
      </w:r>
      <w:r w:rsidR="00C456FB" w:rsidRPr="001A0B66">
        <w:rPr>
          <w:rFonts w:ascii="FrankRuehl" w:hAnsi="FrankRuehl" w:cs="FrankRuehl"/>
          <w:sz w:val="28"/>
          <w:szCs w:val="28"/>
          <w:rtl/>
        </w:rPr>
        <w:t>הצעת חוק</w:t>
      </w:r>
      <w:r w:rsidR="00AA79E2" w:rsidRPr="001A0B66">
        <w:rPr>
          <w:rFonts w:ascii="FrankRuehl" w:hAnsi="FrankRuehl" w:cs="FrankRuehl"/>
          <w:sz w:val="28"/>
          <w:szCs w:val="28"/>
          <w:rtl/>
        </w:rPr>
        <w:t xml:space="preserve"> עורכי דין מיוחדים</w:t>
      </w:r>
      <w:r w:rsidR="00856EDD" w:rsidRPr="001A0B66">
        <w:rPr>
          <w:rFonts w:ascii="FrankRuehl" w:hAnsi="FrankRuehl" w:cs="FrankRuehl"/>
          <w:sz w:val="28"/>
          <w:szCs w:val="28"/>
          <w:rtl/>
        </w:rPr>
        <w:t xml:space="preserve"> </w:t>
      </w:r>
      <w:r w:rsidR="0061696D" w:rsidRPr="001A0B66">
        <w:rPr>
          <w:rFonts w:ascii="FrankRuehl" w:hAnsi="FrankRuehl" w:cs="FrankRuehl"/>
          <w:sz w:val="28"/>
          <w:szCs w:val="28"/>
          <w:rtl/>
        </w:rPr>
        <w:t xml:space="preserve">שבה אנו עוסקים </w:t>
      </w:r>
      <w:r w:rsidR="00FE708E" w:rsidRPr="001A0B66">
        <w:rPr>
          <w:rFonts w:ascii="FrankRuehl" w:hAnsi="FrankRuehl" w:cs="FrankRuehl"/>
          <w:sz w:val="28"/>
          <w:szCs w:val="28"/>
          <w:rtl/>
        </w:rPr>
        <w:t xml:space="preserve">לא </w:t>
      </w:r>
      <w:r w:rsidRPr="001A0B66">
        <w:rPr>
          <w:rFonts w:ascii="FrankRuehl" w:hAnsi="FrankRuehl" w:cs="FrankRuehl"/>
          <w:sz w:val="28"/>
          <w:szCs w:val="28"/>
          <w:rtl/>
        </w:rPr>
        <w:t>פורטו</w:t>
      </w:r>
      <w:r w:rsidR="00FE708E" w:rsidRPr="001A0B66">
        <w:rPr>
          <w:rFonts w:ascii="FrankRuehl" w:hAnsi="FrankRuehl" w:cs="FrankRuehl"/>
          <w:sz w:val="28"/>
          <w:szCs w:val="28"/>
          <w:rtl/>
        </w:rPr>
        <w:t xml:space="preserve"> </w:t>
      </w:r>
      <w:r w:rsidR="00FB1290" w:rsidRPr="001A0B66">
        <w:rPr>
          <w:rFonts w:ascii="FrankRuehl" w:hAnsi="FrankRuehl" w:cs="FrankRuehl"/>
          <w:sz w:val="28"/>
          <w:szCs w:val="28"/>
          <w:rtl/>
        </w:rPr>
        <w:t xml:space="preserve">הקריטריונים </w:t>
      </w:r>
      <w:r w:rsidR="006D0CAD" w:rsidRPr="001A0B66">
        <w:rPr>
          <w:rFonts w:ascii="FrankRuehl" w:hAnsi="FrankRuehl" w:cs="FrankRuehl"/>
          <w:sz w:val="28"/>
          <w:szCs w:val="28"/>
          <w:rtl/>
        </w:rPr>
        <w:t xml:space="preserve">למינוי </w:t>
      </w:r>
      <w:r w:rsidR="00804215" w:rsidRPr="001A0B66">
        <w:rPr>
          <w:rFonts w:ascii="FrankRuehl" w:hAnsi="FrankRuehl" w:cs="FrankRuehl"/>
          <w:sz w:val="28"/>
          <w:szCs w:val="28"/>
          <w:rtl/>
        </w:rPr>
        <w:t>לתפקיד</w:t>
      </w:r>
      <w:r w:rsidR="000706F8" w:rsidRPr="001A0B66">
        <w:rPr>
          <w:rFonts w:ascii="FrankRuehl" w:hAnsi="FrankRuehl" w:cs="FrankRuehl"/>
          <w:sz w:val="28"/>
          <w:szCs w:val="28"/>
          <w:rtl/>
        </w:rPr>
        <w:t xml:space="preserve"> עורך הדין המיוחד</w:t>
      </w:r>
      <w:r w:rsidR="00FB1290" w:rsidRPr="001A0B66">
        <w:rPr>
          <w:rFonts w:ascii="FrankRuehl" w:hAnsi="FrankRuehl" w:cs="FrankRuehl"/>
          <w:sz w:val="28"/>
          <w:szCs w:val="28"/>
          <w:rtl/>
        </w:rPr>
        <w:t xml:space="preserve">. הקריטריון הברור והמדיד היחידי הוא שעל עורך הדין להיות חבר בלשכת עורכי הדין </w:t>
      </w:r>
      <w:r w:rsidRPr="001A0B66">
        <w:rPr>
          <w:rFonts w:ascii="FrankRuehl" w:hAnsi="FrankRuehl" w:cs="FrankRuehl"/>
          <w:sz w:val="28"/>
          <w:szCs w:val="28"/>
          <w:rtl/>
        </w:rPr>
        <w:t xml:space="preserve">חמש </w:t>
      </w:r>
      <w:r w:rsidR="00FB1290" w:rsidRPr="001A0B66">
        <w:rPr>
          <w:rFonts w:ascii="FrankRuehl" w:hAnsi="FrankRuehl" w:cs="FrankRuehl"/>
          <w:sz w:val="28"/>
          <w:szCs w:val="28"/>
          <w:rtl/>
        </w:rPr>
        <w:t>שנים לפחות</w:t>
      </w:r>
      <w:r w:rsidRPr="001A0B66">
        <w:rPr>
          <w:rFonts w:ascii="FrankRuehl" w:hAnsi="FrankRuehl" w:cs="FrankRuehl"/>
          <w:sz w:val="28"/>
          <w:szCs w:val="28"/>
          <w:rtl/>
        </w:rPr>
        <w:t xml:space="preserve"> –</w:t>
      </w:r>
      <w:r w:rsidR="00FB1290" w:rsidRPr="001A0B66">
        <w:rPr>
          <w:rFonts w:ascii="FrankRuehl" w:hAnsi="FrankRuehl" w:cs="FrankRuehl"/>
          <w:sz w:val="28"/>
          <w:szCs w:val="28"/>
          <w:rtl/>
        </w:rPr>
        <w:t xml:space="preserve"> </w:t>
      </w:r>
      <w:r w:rsidRPr="001A0B66">
        <w:rPr>
          <w:rFonts w:ascii="FrankRuehl" w:hAnsi="FrankRuehl" w:cs="FrankRuehl"/>
          <w:sz w:val="28"/>
          <w:szCs w:val="28"/>
          <w:rtl/>
        </w:rPr>
        <w:t>ביטוי ל</w:t>
      </w:r>
      <w:r w:rsidR="00FB1290" w:rsidRPr="001A0B66">
        <w:rPr>
          <w:rFonts w:ascii="FrankRuehl" w:hAnsi="FrankRuehl" w:cs="FrankRuehl"/>
          <w:sz w:val="28"/>
          <w:szCs w:val="28"/>
          <w:rtl/>
        </w:rPr>
        <w:t xml:space="preserve">ניסיון המשפטי הדרוש לתפקיד. </w:t>
      </w:r>
      <w:r w:rsidRPr="001A0B66">
        <w:rPr>
          <w:rFonts w:ascii="FrankRuehl" w:hAnsi="FrankRuehl" w:cs="FrankRuehl"/>
          <w:sz w:val="28"/>
          <w:szCs w:val="28"/>
          <w:rtl/>
        </w:rPr>
        <w:t>ב</w:t>
      </w:r>
      <w:r w:rsidR="00FB1290" w:rsidRPr="001A0B66">
        <w:rPr>
          <w:rFonts w:ascii="FrankRuehl" w:hAnsi="FrankRuehl" w:cs="FrankRuehl"/>
          <w:sz w:val="28"/>
          <w:szCs w:val="28"/>
          <w:rtl/>
        </w:rPr>
        <w:t xml:space="preserve">סעיף 5(ב) להצעת החוק </w:t>
      </w:r>
      <w:r w:rsidRPr="001A0B66">
        <w:rPr>
          <w:rFonts w:ascii="FrankRuehl" w:hAnsi="FrankRuehl" w:cs="FrankRuehl"/>
          <w:sz w:val="28"/>
          <w:szCs w:val="28"/>
          <w:rtl/>
        </w:rPr>
        <w:t>נכתב</w:t>
      </w:r>
      <w:r w:rsidR="000706F8" w:rsidRPr="001A0B66">
        <w:rPr>
          <w:rFonts w:ascii="FrankRuehl" w:hAnsi="FrankRuehl" w:cs="FrankRuehl"/>
          <w:sz w:val="28"/>
          <w:szCs w:val="28"/>
          <w:rtl/>
        </w:rPr>
        <w:t xml:space="preserve"> שעל</w:t>
      </w:r>
      <w:r w:rsidR="00FE708E" w:rsidRPr="001A0B66">
        <w:rPr>
          <w:rFonts w:ascii="FrankRuehl" w:hAnsi="FrankRuehl" w:cs="FrankRuehl"/>
          <w:sz w:val="28"/>
          <w:szCs w:val="28"/>
          <w:rtl/>
        </w:rPr>
        <w:t xml:space="preserve"> עורך הדין </w:t>
      </w:r>
      <w:r w:rsidR="00FB1290" w:rsidRPr="001A0B66">
        <w:rPr>
          <w:rFonts w:ascii="FrankRuehl" w:hAnsi="FrankRuehl" w:cs="FrankRuehl"/>
          <w:sz w:val="28"/>
          <w:szCs w:val="28"/>
          <w:rtl/>
        </w:rPr>
        <w:t xml:space="preserve">להיות "בעל סיווג ביטחוני מתאים כפי שיקבעו גורמי הביטחון המוסמכים". זהו קריטריון עמום, </w:t>
      </w:r>
      <w:r w:rsidR="005E353B" w:rsidRPr="001A0B66">
        <w:rPr>
          <w:rFonts w:ascii="FrankRuehl" w:hAnsi="FrankRuehl" w:cs="FrankRuehl"/>
          <w:sz w:val="28"/>
          <w:szCs w:val="28"/>
          <w:rtl/>
        </w:rPr>
        <w:t>ש</w:t>
      </w:r>
      <w:r w:rsidR="00FB1290" w:rsidRPr="001A0B66">
        <w:rPr>
          <w:rFonts w:ascii="FrankRuehl" w:hAnsi="FrankRuehl" w:cs="FrankRuehl"/>
          <w:sz w:val="28"/>
          <w:szCs w:val="28"/>
          <w:rtl/>
        </w:rPr>
        <w:t>מותיר את הסיווג הב</w:t>
      </w:r>
      <w:r w:rsidR="00646614" w:rsidRPr="001A0B66">
        <w:rPr>
          <w:rFonts w:ascii="FrankRuehl" w:hAnsi="FrankRuehl" w:cs="FrankRuehl"/>
          <w:sz w:val="28"/>
          <w:szCs w:val="28"/>
          <w:rtl/>
        </w:rPr>
        <w:t>יטחוני</w:t>
      </w:r>
      <w:r w:rsidR="004F5520" w:rsidRPr="001A0B66">
        <w:rPr>
          <w:rFonts w:ascii="FrankRuehl" w:hAnsi="FrankRuehl" w:cs="FrankRuehl"/>
          <w:sz w:val="28"/>
          <w:szCs w:val="28"/>
          <w:rtl/>
        </w:rPr>
        <w:t xml:space="preserve"> </w:t>
      </w:r>
      <w:r w:rsidR="002F7D21" w:rsidRPr="001A0B66">
        <w:rPr>
          <w:rFonts w:ascii="FrankRuehl" w:hAnsi="FrankRuehl" w:cs="FrankRuehl"/>
          <w:sz w:val="28"/>
          <w:szCs w:val="28"/>
          <w:rtl/>
        </w:rPr>
        <w:t xml:space="preserve">כולו </w:t>
      </w:r>
      <w:r w:rsidR="00FB1290" w:rsidRPr="001A0B66">
        <w:rPr>
          <w:rFonts w:ascii="FrankRuehl" w:hAnsi="FrankRuehl" w:cs="FrankRuehl"/>
          <w:sz w:val="28"/>
          <w:szCs w:val="28"/>
          <w:rtl/>
        </w:rPr>
        <w:t xml:space="preserve">בידיהם של גורמי הביטחון. </w:t>
      </w:r>
      <w:r w:rsidR="00894587" w:rsidRPr="001A0B66">
        <w:rPr>
          <w:rFonts w:ascii="FrankRuehl" w:hAnsi="FrankRuehl" w:cs="FrankRuehl"/>
          <w:sz w:val="28"/>
          <w:szCs w:val="28"/>
          <w:rtl/>
        </w:rPr>
        <w:t>נתייחס לכך</w:t>
      </w:r>
      <w:r w:rsidRPr="001A0B66">
        <w:rPr>
          <w:rFonts w:ascii="FrankRuehl" w:hAnsi="FrankRuehl" w:cs="FrankRuehl"/>
          <w:sz w:val="28"/>
          <w:szCs w:val="28"/>
          <w:rtl/>
        </w:rPr>
        <w:t xml:space="preserve"> מיד</w:t>
      </w:r>
      <w:r w:rsidR="004707A2" w:rsidRPr="001A0B66">
        <w:rPr>
          <w:rFonts w:ascii="FrankRuehl" w:hAnsi="FrankRuehl" w:cs="FrankRuehl"/>
          <w:sz w:val="28"/>
          <w:szCs w:val="28"/>
          <w:rtl/>
        </w:rPr>
        <w:t>.</w:t>
      </w:r>
    </w:p>
    <w:p w14:paraId="01D7E753" w14:textId="77777777" w:rsidR="00CE5BDD" w:rsidRPr="001A0B66" w:rsidRDefault="00BD5BB0"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הצעת החוק מבקשת להעניק תפקיד חשוב</w:t>
      </w:r>
      <w:r w:rsidR="0043558C" w:rsidRPr="001A0B66">
        <w:rPr>
          <w:rFonts w:ascii="FrankRuehl" w:hAnsi="FrankRuehl" w:cs="FrankRuehl"/>
          <w:sz w:val="28"/>
          <w:szCs w:val="28"/>
          <w:rtl/>
        </w:rPr>
        <w:t xml:space="preserve"> –</w:t>
      </w:r>
      <w:r w:rsidRPr="001A0B66">
        <w:rPr>
          <w:rFonts w:ascii="FrankRuehl" w:hAnsi="FrankRuehl" w:cs="FrankRuehl"/>
          <w:sz w:val="28"/>
          <w:szCs w:val="28"/>
          <w:rtl/>
        </w:rPr>
        <w:t xml:space="preserve"> ואולי </w:t>
      </w:r>
      <w:r w:rsidR="0043558C" w:rsidRPr="001A0B66">
        <w:rPr>
          <w:rFonts w:ascii="FrankRuehl" w:hAnsi="FrankRuehl" w:cs="FrankRuehl"/>
          <w:sz w:val="28"/>
          <w:szCs w:val="28"/>
          <w:rtl/>
        </w:rPr>
        <w:t xml:space="preserve">אף </w:t>
      </w:r>
      <w:r w:rsidRPr="001A0B66">
        <w:rPr>
          <w:rFonts w:ascii="FrankRuehl" w:hAnsi="FrankRuehl" w:cs="FrankRuehl"/>
          <w:sz w:val="28"/>
          <w:szCs w:val="28"/>
          <w:rtl/>
        </w:rPr>
        <w:t xml:space="preserve">מרכזי </w:t>
      </w:r>
      <w:r w:rsidR="0043558C" w:rsidRPr="001A0B66">
        <w:rPr>
          <w:rFonts w:ascii="FrankRuehl" w:hAnsi="FrankRuehl" w:cs="FrankRuehl"/>
          <w:sz w:val="28"/>
          <w:szCs w:val="28"/>
          <w:rtl/>
        </w:rPr>
        <w:t xml:space="preserve">– </w:t>
      </w:r>
      <w:r w:rsidRPr="001A0B66">
        <w:rPr>
          <w:rFonts w:ascii="FrankRuehl" w:hAnsi="FrankRuehl" w:cs="FrankRuehl"/>
          <w:sz w:val="28"/>
          <w:szCs w:val="28"/>
          <w:rtl/>
        </w:rPr>
        <w:t>לסנגוריה הציבורית.</w:t>
      </w:r>
      <w:r w:rsidR="00FB523B" w:rsidRPr="001A0B66">
        <w:rPr>
          <w:rFonts w:ascii="FrankRuehl" w:hAnsi="FrankRuehl" w:cs="FrankRuehl"/>
          <w:sz w:val="28"/>
          <w:szCs w:val="28"/>
          <w:vertAlign w:val="superscript"/>
          <w:rtl/>
        </w:rPr>
        <w:footnoteReference w:id="96"/>
      </w:r>
      <w:r w:rsidRPr="001A0B66">
        <w:rPr>
          <w:rFonts w:ascii="FrankRuehl" w:hAnsi="FrankRuehl" w:cs="FrankRuehl"/>
          <w:sz w:val="28"/>
          <w:szCs w:val="28"/>
          <w:rtl/>
        </w:rPr>
        <w:t xml:space="preserve"> </w:t>
      </w:r>
      <w:r w:rsidR="00614E27" w:rsidRPr="001A0B66">
        <w:rPr>
          <w:rFonts w:ascii="FrankRuehl" w:hAnsi="FrankRuehl" w:cs="FrankRuehl"/>
          <w:sz w:val="28"/>
          <w:szCs w:val="28"/>
          <w:rtl/>
        </w:rPr>
        <w:t xml:space="preserve">אנו </w:t>
      </w:r>
      <w:r w:rsidR="005B70DB" w:rsidRPr="001A0B66">
        <w:rPr>
          <w:rFonts w:ascii="FrankRuehl" w:hAnsi="FrankRuehl" w:cs="FrankRuehl"/>
          <w:sz w:val="28"/>
          <w:szCs w:val="28"/>
          <w:rtl/>
        </w:rPr>
        <w:t>תומכים</w:t>
      </w:r>
      <w:r w:rsidR="00614E27" w:rsidRPr="001A0B66">
        <w:rPr>
          <w:rFonts w:ascii="FrankRuehl" w:hAnsi="FrankRuehl" w:cs="FrankRuehl"/>
          <w:sz w:val="28"/>
          <w:szCs w:val="28"/>
          <w:rtl/>
        </w:rPr>
        <w:t xml:space="preserve"> </w:t>
      </w:r>
      <w:r w:rsidR="00CE2345" w:rsidRPr="001A0B66">
        <w:rPr>
          <w:rFonts w:ascii="FrankRuehl" w:hAnsi="FrankRuehl" w:cs="FrankRuehl"/>
          <w:sz w:val="28"/>
          <w:szCs w:val="28"/>
          <w:rtl/>
        </w:rPr>
        <w:t>מא</w:t>
      </w:r>
      <w:r w:rsidR="00704948" w:rsidRPr="001A0B66">
        <w:rPr>
          <w:rFonts w:ascii="FrankRuehl" w:hAnsi="FrankRuehl" w:cs="FrankRuehl"/>
          <w:sz w:val="28"/>
          <w:szCs w:val="28"/>
          <w:rtl/>
        </w:rPr>
        <w:t>ו</w:t>
      </w:r>
      <w:r w:rsidR="00CE2345" w:rsidRPr="001A0B66">
        <w:rPr>
          <w:rFonts w:ascii="FrankRuehl" w:hAnsi="FrankRuehl" w:cs="FrankRuehl"/>
          <w:sz w:val="28"/>
          <w:szCs w:val="28"/>
          <w:rtl/>
        </w:rPr>
        <w:t xml:space="preserve">ד </w:t>
      </w:r>
      <w:r w:rsidR="005B70DB" w:rsidRPr="001A0B66">
        <w:rPr>
          <w:rFonts w:ascii="FrankRuehl" w:hAnsi="FrankRuehl" w:cs="FrankRuehl"/>
          <w:sz w:val="28"/>
          <w:szCs w:val="28"/>
          <w:rtl/>
        </w:rPr>
        <w:t>ב</w:t>
      </w:r>
      <w:r w:rsidR="00614E27" w:rsidRPr="001A0B66">
        <w:rPr>
          <w:rFonts w:ascii="FrankRuehl" w:hAnsi="FrankRuehl" w:cs="FrankRuehl"/>
          <w:sz w:val="28"/>
          <w:szCs w:val="28"/>
          <w:rtl/>
        </w:rPr>
        <w:t>כיוון דברים זה ואף נציע להעמיקו.</w:t>
      </w:r>
      <w:r w:rsidR="00FB523B" w:rsidRPr="001A0B66">
        <w:rPr>
          <w:rFonts w:ascii="FrankRuehl" w:hAnsi="FrankRuehl" w:cs="FrankRuehl"/>
          <w:sz w:val="28"/>
          <w:szCs w:val="28"/>
          <w:vertAlign w:val="superscript"/>
          <w:rtl/>
        </w:rPr>
        <w:t xml:space="preserve"> </w:t>
      </w:r>
      <w:r w:rsidR="005B70DB" w:rsidRPr="001A0B66">
        <w:rPr>
          <w:rFonts w:ascii="FrankRuehl" w:hAnsi="FrankRuehl" w:cs="FrankRuehl"/>
          <w:sz w:val="28"/>
          <w:szCs w:val="28"/>
          <w:rtl/>
        </w:rPr>
        <w:t xml:space="preserve">הסנגוריה הציבורית </w:t>
      </w:r>
      <w:r w:rsidR="007128D5" w:rsidRPr="001A0B66">
        <w:rPr>
          <w:rFonts w:ascii="FrankRuehl" w:hAnsi="FrankRuehl" w:cs="FrankRuehl"/>
          <w:sz w:val="28"/>
          <w:szCs w:val="28"/>
          <w:rtl/>
        </w:rPr>
        <w:t xml:space="preserve">בישראל </w:t>
      </w:r>
      <w:r w:rsidR="005B70DB" w:rsidRPr="001A0B66">
        <w:rPr>
          <w:rFonts w:ascii="FrankRuehl" w:hAnsi="FrankRuehl" w:cs="FrankRuehl"/>
          <w:sz w:val="28"/>
          <w:szCs w:val="28"/>
          <w:rtl/>
        </w:rPr>
        <w:t>צברה נ</w:t>
      </w:r>
      <w:r w:rsidR="000867B6" w:rsidRPr="001A0B66">
        <w:rPr>
          <w:rFonts w:ascii="FrankRuehl" w:hAnsi="FrankRuehl" w:cs="FrankRuehl"/>
          <w:sz w:val="28"/>
          <w:szCs w:val="28"/>
          <w:rtl/>
        </w:rPr>
        <w:t>י</w:t>
      </w:r>
      <w:r w:rsidR="005B70DB" w:rsidRPr="001A0B66">
        <w:rPr>
          <w:rFonts w:ascii="FrankRuehl" w:hAnsi="FrankRuehl" w:cs="FrankRuehl"/>
          <w:sz w:val="28"/>
          <w:szCs w:val="28"/>
          <w:rtl/>
        </w:rPr>
        <w:t>סיון רב בהגנה על נאשמים בעבירות ביטחון וגם בבחירת עורכי הדין המתאימים לכך.</w:t>
      </w:r>
      <w:r w:rsidR="009C6D86" w:rsidRPr="001A0B66">
        <w:rPr>
          <w:rFonts w:ascii="FrankRuehl" w:hAnsi="FrankRuehl" w:cs="FrankRuehl"/>
          <w:sz w:val="28"/>
          <w:szCs w:val="28"/>
          <w:vertAlign w:val="superscript"/>
          <w:rtl/>
        </w:rPr>
        <w:footnoteReference w:id="97"/>
      </w:r>
      <w:r w:rsidR="005B70DB" w:rsidRPr="001A0B66">
        <w:rPr>
          <w:rFonts w:ascii="FrankRuehl" w:hAnsi="FrankRuehl" w:cs="FrankRuehl"/>
          <w:sz w:val="28"/>
          <w:szCs w:val="28"/>
          <w:rtl/>
        </w:rPr>
        <w:t xml:space="preserve"> לכן </w:t>
      </w:r>
      <w:r w:rsidR="002031BF" w:rsidRPr="001A0B66">
        <w:rPr>
          <w:rFonts w:ascii="FrankRuehl" w:hAnsi="FrankRuehl" w:cs="FrankRuehl"/>
          <w:sz w:val="28"/>
          <w:szCs w:val="28"/>
          <w:rtl/>
        </w:rPr>
        <w:t>המלצתנו היא לוותר על הקמת מנגנון נפרד בדמות הוועדה המאשרת</w:t>
      </w:r>
      <w:r w:rsidR="00CE5BDD" w:rsidRPr="001A0B66">
        <w:rPr>
          <w:rFonts w:ascii="FrankRuehl" w:hAnsi="FrankRuehl" w:cs="FrankRuehl"/>
          <w:sz w:val="28"/>
          <w:szCs w:val="28"/>
          <w:rtl/>
        </w:rPr>
        <w:t>, ולהותיר את מכלול ההסדרה בידי הסנגוריה הציבורית</w:t>
      </w:r>
      <w:r w:rsidR="007B6C55" w:rsidRPr="001A0B66">
        <w:rPr>
          <w:rFonts w:ascii="FrankRuehl" w:hAnsi="FrankRuehl" w:cs="FrankRuehl"/>
          <w:sz w:val="28"/>
          <w:szCs w:val="28"/>
          <w:rtl/>
        </w:rPr>
        <w:t xml:space="preserve"> –</w:t>
      </w:r>
      <w:r w:rsidR="00CE5BDD" w:rsidRPr="001A0B66">
        <w:rPr>
          <w:rFonts w:ascii="FrankRuehl" w:hAnsi="FrankRuehl" w:cs="FrankRuehl"/>
          <w:sz w:val="28"/>
          <w:szCs w:val="28"/>
          <w:rtl/>
        </w:rPr>
        <w:t xml:space="preserve"> </w:t>
      </w:r>
      <w:r w:rsidR="00F70309" w:rsidRPr="001A0B66">
        <w:rPr>
          <w:rFonts w:ascii="FrankRuehl" w:hAnsi="FrankRuehl" w:cs="FrankRuehl"/>
          <w:sz w:val="28"/>
          <w:szCs w:val="28"/>
          <w:rtl/>
        </w:rPr>
        <w:t>למעט מרכיב ה</w:t>
      </w:r>
      <w:r w:rsidR="00CE5BDD" w:rsidRPr="001A0B66">
        <w:rPr>
          <w:rFonts w:ascii="FrankRuehl" w:hAnsi="FrankRuehl" w:cs="FrankRuehl"/>
          <w:sz w:val="28"/>
          <w:szCs w:val="28"/>
          <w:rtl/>
        </w:rPr>
        <w:t xml:space="preserve">סיווג </w:t>
      </w:r>
      <w:r w:rsidR="00F70309" w:rsidRPr="001A0B66">
        <w:rPr>
          <w:rFonts w:ascii="FrankRuehl" w:hAnsi="FrankRuehl" w:cs="FrankRuehl"/>
          <w:sz w:val="28"/>
          <w:szCs w:val="28"/>
          <w:rtl/>
        </w:rPr>
        <w:t>ה</w:t>
      </w:r>
      <w:r w:rsidR="00CE5BDD" w:rsidRPr="001A0B66">
        <w:rPr>
          <w:rFonts w:ascii="FrankRuehl" w:hAnsi="FrankRuehl" w:cs="FrankRuehl"/>
          <w:sz w:val="28"/>
          <w:szCs w:val="28"/>
          <w:rtl/>
        </w:rPr>
        <w:t>ביטחוני.</w:t>
      </w:r>
      <w:bookmarkStart w:id="83" w:name="_Hlk53520616"/>
      <w:r w:rsidR="00D37AE2" w:rsidRPr="001A0B66">
        <w:rPr>
          <w:rStyle w:val="FootnoteReference"/>
          <w:rFonts w:ascii="FrankRuehl" w:hAnsi="FrankRuehl" w:cs="FrankRuehl"/>
          <w:sz w:val="28"/>
          <w:szCs w:val="28"/>
          <w:rtl/>
        </w:rPr>
        <w:footnoteReference w:id="98"/>
      </w:r>
      <w:bookmarkEnd w:id="83"/>
      <w:r w:rsidR="00CE5BDD" w:rsidRPr="001A0B66">
        <w:rPr>
          <w:rFonts w:ascii="FrankRuehl" w:hAnsi="FrankRuehl" w:cs="FrankRuehl"/>
          <w:sz w:val="28"/>
          <w:szCs w:val="28"/>
          <w:rtl/>
        </w:rPr>
        <w:t xml:space="preserve"> </w:t>
      </w:r>
      <w:r w:rsidR="00AB67D7" w:rsidRPr="001A0B66">
        <w:rPr>
          <w:rFonts w:ascii="FrankRuehl" w:hAnsi="FrankRuehl" w:cs="FrankRuehl"/>
          <w:sz w:val="28"/>
          <w:szCs w:val="28"/>
          <w:rtl/>
        </w:rPr>
        <w:t>למנגנון חדש חסרונות רבים:</w:t>
      </w:r>
      <w:r w:rsidR="00AB67D7" w:rsidRPr="001A0B66">
        <w:rPr>
          <w:rFonts w:ascii="FrankRuehl" w:hAnsi="FrankRuehl" w:cs="FrankRuehl"/>
          <w:sz w:val="28"/>
          <w:szCs w:val="28"/>
        </w:rPr>
        <w:t xml:space="preserve"> </w:t>
      </w:r>
      <w:r w:rsidR="00AB67D7" w:rsidRPr="001A0B66">
        <w:rPr>
          <w:rFonts w:ascii="FrankRuehl" w:hAnsi="FrankRuehl" w:cs="FrankRuehl"/>
          <w:sz w:val="28"/>
          <w:szCs w:val="28"/>
          <w:rtl/>
        </w:rPr>
        <w:t xml:space="preserve">הוא כרוך בעלות כלכלית </w:t>
      </w:r>
      <w:r w:rsidR="007B6C55" w:rsidRPr="001A0B66">
        <w:rPr>
          <w:rFonts w:ascii="FrankRuehl" w:hAnsi="FrankRuehl" w:cs="FrankRuehl"/>
          <w:sz w:val="28"/>
          <w:szCs w:val="28"/>
          <w:rtl/>
        </w:rPr>
        <w:t xml:space="preserve">של ממש </w:t>
      </w:r>
      <w:r w:rsidR="00AB67D7" w:rsidRPr="001A0B66">
        <w:rPr>
          <w:rFonts w:ascii="FrankRuehl" w:hAnsi="FrankRuehl" w:cs="FrankRuehl"/>
          <w:sz w:val="28"/>
          <w:szCs w:val="28"/>
          <w:rtl/>
        </w:rPr>
        <w:t>אך בעיקר בחבלי לידה של מוסד חדש שעליו לגבש זהות ארגונית, דרכי פעולה, מוניטין ואמון. בתחום רגיש כזה יש להגן על הליך מינוי</w:t>
      </w:r>
      <w:r w:rsidR="007B6C55" w:rsidRPr="001A0B66">
        <w:rPr>
          <w:rFonts w:ascii="FrankRuehl" w:hAnsi="FrankRuehl" w:cs="FrankRuehl"/>
          <w:sz w:val="28"/>
          <w:szCs w:val="28"/>
          <w:rtl/>
        </w:rPr>
        <w:t>ם</w:t>
      </w:r>
      <w:r w:rsidR="00AB67D7" w:rsidRPr="001A0B66">
        <w:rPr>
          <w:rFonts w:ascii="FrankRuehl" w:hAnsi="FrankRuehl" w:cs="FrankRuehl"/>
          <w:sz w:val="28"/>
          <w:szCs w:val="28"/>
          <w:rtl/>
        </w:rPr>
        <w:t xml:space="preserve"> והסדרת פעילותם של עורכי הדין המיוחדים מהשפעות פוליטיות כאלה ואחרות באמצעות מוסד מבוסס, ומוסד כזה אכן כבר קיים. הסנגוריה הציבורית</w:t>
      </w:r>
      <w:r w:rsidR="00CE5BDD" w:rsidRPr="001A0B66">
        <w:rPr>
          <w:rFonts w:ascii="FrankRuehl" w:hAnsi="FrankRuehl" w:cs="FrankRuehl"/>
          <w:sz w:val="28"/>
          <w:szCs w:val="28"/>
          <w:rtl/>
        </w:rPr>
        <w:t xml:space="preserve"> מייצגת בכל סוגי ההליכים הפליליים </w:t>
      </w:r>
      <w:proofErr w:type="spellStart"/>
      <w:r w:rsidR="00CE5BDD" w:rsidRPr="001A0B66">
        <w:rPr>
          <w:rFonts w:ascii="FrankRuehl" w:hAnsi="FrankRuehl" w:cs="FrankRuehl"/>
          <w:sz w:val="28"/>
          <w:szCs w:val="28"/>
          <w:rtl/>
        </w:rPr>
        <w:t>והלבר</w:t>
      </w:r>
      <w:proofErr w:type="spellEnd"/>
      <w:r w:rsidR="00CE5BDD" w:rsidRPr="001A0B66">
        <w:rPr>
          <w:rFonts w:ascii="FrankRuehl" w:hAnsi="FrankRuehl" w:cs="FrankRuehl"/>
          <w:sz w:val="28"/>
          <w:szCs w:val="28"/>
          <w:rtl/>
        </w:rPr>
        <w:t xml:space="preserve">-פליליים (כגון ועדות שחרורים ועתירות אסירים), לרבות בתיקים ביטחוניים, והוסמכה לייצג </w:t>
      </w:r>
      <w:r w:rsidR="00901503" w:rsidRPr="001A0B66">
        <w:rPr>
          <w:rFonts w:ascii="FrankRuehl" w:hAnsi="FrankRuehl" w:cs="FrankRuehl"/>
          <w:sz w:val="28"/>
          <w:szCs w:val="28"/>
          <w:rtl/>
        </w:rPr>
        <w:t xml:space="preserve">גם </w:t>
      </w:r>
      <w:r w:rsidR="00CE5BDD" w:rsidRPr="001A0B66">
        <w:rPr>
          <w:rFonts w:ascii="FrankRuehl" w:hAnsi="FrankRuehl" w:cs="FrankRuehl"/>
          <w:sz w:val="28"/>
          <w:szCs w:val="28"/>
          <w:rtl/>
        </w:rPr>
        <w:t>בהליכים לפי חוק המאבק בטרור וחוק כליאתם של לוחמים בלתי חוקיים.</w:t>
      </w:r>
      <w:r w:rsidR="00CE5BDD" w:rsidRPr="001A0B66">
        <w:rPr>
          <w:rFonts w:ascii="FrankRuehl" w:hAnsi="FrankRuehl" w:cs="FrankRuehl"/>
          <w:sz w:val="28"/>
          <w:szCs w:val="28"/>
          <w:vertAlign w:val="superscript"/>
          <w:rtl/>
        </w:rPr>
        <w:footnoteReference w:id="99"/>
      </w:r>
      <w:r w:rsidR="00CE5BDD" w:rsidRPr="001A0B66">
        <w:rPr>
          <w:rFonts w:ascii="FrankRuehl" w:hAnsi="FrankRuehl" w:cs="FrankRuehl"/>
          <w:sz w:val="28"/>
          <w:szCs w:val="28"/>
          <w:rtl/>
        </w:rPr>
        <w:t xml:space="preserve"> היא מינתה בעבר סנגורים</w:t>
      </w:r>
      <w:r w:rsidR="006362E5" w:rsidRPr="001A0B66">
        <w:rPr>
          <w:rFonts w:ascii="FrankRuehl" w:hAnsi="FrankRuehl" w:cs="FrankRuehl"/>
          <w:sz w:val="28"/>
          <w:szCs w:val="28"/>
          <w:rtl/>
        </w:rPr>
        <w:t xml:space="preserve"> וסנגוריות</w:t>
      </w:r>
      <w:r w:rsidR="00CE5BDD" w:rsidRPr="001A0B66">
        <w:rPr>
          <w:rFonts w:ascii="FrankRuehl" w:hAnsi="FrankRuehl" w:cs="FrankRuehl"/>
          <w:sz w:val="28"/>
          <w:szCs w:val="28"/>
          <w:rtl/>
        </w:rPr>
        <w:t xml:space="preserve"> בעלי סיווג ביטחוני מתאים לייצג בתיקים רגישים</w:t>
      </w:r>
      <w:r w:rsidR="007B6C55" w:rsidRPr="001A0B66">
        <w:rPr>
          <w:rFonts w:ascii="FrankRuehl" w:hAnsi="FrankRuehl" w:cs="FrankRuehl"/>
          <w:sz w:val="28"/>
          <w:szCs w:val="28"/>
          <w:rtl/>
        </w:rPr>
        <w:t xml:space="preserve"> מבחינה</w:t>
      </w:r>
      <w:r w:rsidR="00CE5BDD" w:rsidRPr="001A0B66">
        <w:rPr>
          <w:rFonts w:ascii="FrankRuehl" w:hAnsi="FrankRuehl" w:cs="FrankRuehl"/>
          <w:sz w:val="28"/>
          <w:szCs w:val="28"/>
          <w:rtl/>
        </w:rPr>
        <w:t xml:space="preserve"> ביטחונית, וניסיונם של עורכי הדין הממונים הראה שגם חשודים ועצורים זרים ממדינות ערב נותנים בהם אמון.</w:t>
      </w:r>
      <w:bookmarkStart w:id="84" w:name="_Ref53032646"/>
      <w:bookmarkStart w:id="85" w:name="_Hlk41378798"/>
      <w:r w:rsidR="00CE5BDD" w:rsidRPr="001A0B66">
        <w:rPr>
          <w:rFonts w:ascii="FrankRuehl" w:hAnsi="FrankRuehl" w:cs="FrankRuehl"/>
          <w:sz w:val="28"/>
          <w:szCs w:val="28"/>
          <w:vertAlign w:val="superscript"/>
          <w:rtl/>
        </w:rPr>
        <w:footnoteReference w:id="100"/>
      </w:r>
      <w:bookmarkEnd w:id="84"/>
      <w:r w:rsidR="00CE5BDD" w:rsidRPr="001A0B66">
        <w:rPr>
          <w:rFonts w:ascii="FrankRuehl" w:hAnsi="FrankRuehl" w:cs="FrankRuehl"/>
          <w:sz w:val="28"/>
          <w:szCs w:val="28"/>
          <w:rtl/>
        </w:rPr>
        <w:t xml:space="preserve"> </w:t>
      </w:r>
      <w:bookmarkEnd w:id="85"/>
      <w:r w:rsidR="007B6C55" w:rsidRPr="001A0B66">
        <w:rPr>
          <w:rFonts w:ascii="FrankRuehl" w:hAnsi="FrankRuehl" w:cs="FrankRuehl"/>
          <w:sz w:val="28"/>
          <w:szCs w:val="28"/>
          <w:rtl/>
        </w:rPr>
        <w:t xml:space="preserve">לסנגוריה </w:t>
      </w:r>
      <w:r w:rsidR="00CE5BDD" w:rsidRPr="001A0B66">
        <w:rPr>
          <w:rFonts w:ascii="FrankRuehl" w:hAnsi="FrankRuehl" w:cs="FrankRuehl"/>
          <w:sz w:val="28"/>
          <w:szCs w:val="28"/>
          <w:rtl/>
        </w:rPr>
        <w:t>מאגר גדול ומגוון של עורכות</w:t>
      </w:r>
      <w:r w:rsidR="007B6C55" w:rsidRPr="001A0B66">
        <w:rPr>
          <w:rFonts w:ascii="FrankRuehl" w:hAnsi="FrankRuehl" w:cs="FrankRuehl"/>
          <w:sz w:val="28"/>
          <w:szCs w:val="28"/>
          <w:rtl/>
        </w:rPr>
        <w:t xml:space="preserve"> דין</w:t>
      </w:r>
      <w:r w:rsidR="00CE5BDD" w:rsidRPr="001A0B66">
        <w:rPr>
          <w:rFonts w:ascii="FrankRuehl" w:hAnsi="FrankRuehl" w:cs="FrankRuehl"/>
          <w:sz w:val="28"/>
          <w:szCs w:val="28"/>
          <w:rtl/>
        </w:rPr>
        <w:t xml:space="preserve"> ועורכי דין בעלי ניסיון בתיקים מכל הסוגים, לרבות בתיקים ביטחוניים, </w:t>
      </w:r>
      <w:r w:rsidR="007B6C55" w:rsidRPr="001A0B66">
        <w:rPr>
          <w:rFonts w:ascii="FrankRuehl" w:hAnsi="FrankRuehl" w:cs="FrankRuehl"/>
          <w:sz w:val="28"/>
          <w:szCs w:val="28"/>
          <w:rtl/>
        </w:rPr>
        <w:t>ו</w:t>
      </w:r>
      <w:r w:rsidR="00CE5BDD" w:rsidRPr="001A0B66">
        <w:rPr>
          <w:rFonts w:ascii="FrankRuehl" w:hAnsi="FrankRuehl" w:cs="FrankRuehl"/>
          <w:sz w:val="28"/>
          <w:szCs w:val="28"/>
          <w:rtl/>
        </w:rPr>
        <w:t xml:space="preserve">היא מעסיקה וממנה עורכי דין </w:t>
      </w:r>
      <w:r w:rsidR="00AB67D7" w:rsidRPr="001A0B66">
        <w:rPr>
          <w:rFonts w:ascii="FrankRuehl" w:hAnsi="FrankRuehl" w:cs="FrankRuehl"/>
          <w:sz w:val="28"/>
          <w:szCs w:val="28"/>
          <w:rtl/>
        </w:rPr>
        <w:t>דוברי</w:t>
      </w:r>
      <w:r w:rsidR="00CE5BDD" w:rsidRPr="001A0B66">
        <w:rPr>
          <w:rFonts w:ascii="FrankRuehl" w:hAnsi="FrankRuehl" w:cs="FrankRuehl"/>
          <w:sz w:val="28"/>
          <w:szCs w:val="28"/>
          <w:rtl/>
        </w:rPr>
        <w:t xml:space="preserve"> ערבית ו</w:t>
      </w:r>
      <w:r w:rsidR="00AB67D7" w:rsidRPr="001A0B66">
        <w:rPr>
          <w:rFonts w:ascii="FrankRuehl" w:hAnsi="FrankRuehl" w:cs="FrankRuehl"/>
          <w:sz w:val="28"/>
          <w:szCs w:val="28"/>
          <w:rtl/>
        </w:rPr>
        <w:t xml:space="preserve">עורכי דין דוברי </w:t>
      </w:r>
      <w:r w:rsidR="00CE5BDD" w:rsidRPr="001A0B66">
        <w:rPr>
          <w:rFonts w:ascii="FrankRuehl" w:hAnsi="FrankRuehl" w:cs="FrankRuehl"/>
          <w:sz w:val="28"/>
          <w:szCs w:val="28"/>
          <w:rtl/>
        </w:rPr>
        <w:t xml:space="preserve">שפות נוספות. היא גם מעניקה ייצוג לעצורים דוברי שפות שונות ומורגלת במינוי עורכות דין </w:t>
      </w:r>
      <w:r w:rsidR="00F74C6E" w:rsidRPr="001A0B66">
        <w:rPr>
          <w:rFonts w:ascii="FrankRuehl" w:hAnsi="FrankRuehl" w:cs="FrankRuehl"/>
          <w:sz w:val="28"/>
          <w:szCs w:val="28"/>
          <w:rtl/>
        </w:rPr>
        <w:t xml:space="preserve">ומתורגמנים </w:t>
      </w:r>
      <w:r w:rsidR="00CE5BDD" w:rsidRPr="001A0B66">
        <w:rPr>
          <w:rFonts w:ascii="FrankRuehl" w:hAnsi="FrankRuehl" w:cs="FrankRuehl"/>
          <w:sz w:val="28"/>
          <w:szCs w:val="28"/>
          <w:rtl/>
        </w:rPr>
        <w:t>מתאימ</w:t>
      </w:r>
      <w:r w:rsidR="00F74C6E" w:rsidRPr="001A0B66">
        <w:rPr>
          <w:rFonts w:ascii="FrankRuehl" w:hAnsi="FrankRuehl" w:cs="FrankRuehl"/>
          <w:sz w:val="28"/>
          <w:szCs w:val="28"/>
          <w:rtl/>
        </w:rPr>
        <w:t>ים</w:t>
      </w:r>
      <w:r w:rsidR="00CE5BDD" w:rsidRPr="001A0B66">
        <w:rPr>
          <w:rFonts w:ascii="FrankRuehl" w:hAnsi="FrankRuehl" w:cs="FrankRuehl"/>
          <w:sz w:val="28"/>
          <w:szCs w:val="28"/>
          <w:rtl/>
        </w:rPr>
        <w:t xml:space="preserve"> לעצורים דוברי שפות </w:t>
      </w:r>
      <w:r w:rsidR="0048782A" w:rsidRPr="001A0B66">
        <w:rPr>
          <w:rFonts w:ascii="FrankRuehl" w:hAnsi="FrankRuehl" w:cs="FrankRuehl"/>
          <w:sz w:val="28"/>
          <w:szCs w:val="28"/>
          <w:rtl/>
        </w:rPr>
        <w:t>שונות</w:t>
      </w:r>
      <w:r w:rsidR="00F74C6E" w:rsidRPr="001A0B66">
        <w:rPr>
          <w:rFonts w:ascii="FrankRuehl" w:hAnsi="FrankRuehl" w:cs="FrankRuehl"/>
          <w:sz w:val="28"/>
          <w:szCs w:val="28"/>
          <w:rtl/>
        </w:rPr>
        <w:t>.</w:t>
      </w:r>
      <w:r w:rsidR="00DD4C1B" w:rsidRPr="001A0B66">
        <w:rPr>
          <w:rFonts w:ascii="FrankRuehl" w:hAnsi="FrankRuehl" w:cs="FrankRuehl"/>
          <w:sz w:val="28"/>
          <w:szCs w:val="28"/>
          <w:vertAlign w:val="superscript"/>
          <w:rtl/>
        </w:rPr>
        <w:footnoteReference w:id="101"/>
      </w:r>
      <w:r w:rsidR="00AB67D7" w:rsidRPr="001A0B66">
        <w:rPr>
          <w:rFonts w:ascii="FrankRuehl" w:hAnsi="FrankRuehl" w:cs="FrankRuehl"/>
          <w:sz w:val="28"/>
          <w:szCs w:val="28"/>
          <w:rtl/>
        </w:rPr>
        <w:t xml:space="preserve"> </w:t>
      </w:r>
    </w:p>
    <w:p w14:paraId="52D201BD" w14:textId="77777777" w:rsidR="008E33B0" w:rsidRPr="001A0B66" w:rsidRDefault="00862196"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lastRenderedPageBreak/>
        <w:t xml:space="preserve">כאמור לעיל, </w:t>
      </w:r>
      <w:r w:rsidR="00AD7478" w:rsidRPr="001A0B66">
        <w:rPr>
          <w:rFonts w:ascii="FrankRuehl" w:hAnsi="FrankRuehl" w:cs="FrankRuehl"/>
          <w:sz w:val="28"/>
          <w:szCs w:val="28"/>
          <w:rtl/>
        </w:rPr>
        <w:t xml:space="preserve">הצעת החוק </w:t>
      </w:r>
      <w:r w:rsidR="00614E27" w:rsidRPr="001A0B66">
        <w:rPr>
          <w:rFonts w:ascii="FrankRuehl" w:hAnsi="FrankRuehl" w:cs="FrankRuehl"/>
          <w:sz w:val="28"/>
          <w:szCs w:val="28"/>
          <w:rtl/>
        </w:rPr>
        <w:t>מציעה</w:t>
      </w:r>
      <w:r w:rsidR="00AD7478" w:rsidRPr="001A0B66">
        <w:rPr>
          <w:rFonts w:ascii="FrankRuehl" w:hAnsi="FrankRuehl" w:cs="FrankRuehl"/>
          <w:sz w:val="28"/>
          <w:szCs w:val="28"/>
          <w:rtl/>
        </w:rPr>
        <w:t xml:space="preserve"> מנגנון נפרד לסיווג ביטחוני</w:t>
      </w:r>
      <w:r w:rsidR="00CE5BDD" w:rsidRPr="001A0B66">
        <w:rPr>
          <w:rFonts w:ascii="FrankRuehl" w:hAnsi="FrankRuehl" w:cs="FrankRuehl"/>
          <w:sz w:val="28"/>
          <w:szCs w:val="28"/>
          <w:rtl/>
        </w:rPr>
        <w:t>.</w:t>
      </w:r>
      <w:bookmarkStart w:id="86" w:name="_Hlk41499166"/>
      <w:r w:rsidR="00614E27" w:rsidRPr="001A0B66">
        <w:rPr>
          <w:rFonts w:ascii="FrankRuehl" w:hAnsi="FrankRuehl" w:cs="FrankRuehl"/>
          <w:sz w:val="28"/>
          <w:szCs w:val="28"/>
          <w:vertAlign w:val="superscript"/>
          <w:rtl/>
        </w:rPr>
        <w:footnoteReference w:id="102"/>
      </w:r>
      <w:bookmarkEnd w:id="86"/>
      <w:r w:rsidR="00614E27" w:rsidRPr="001A0B66">
        <w:rPr>
          <w:rFonts w:ascii="FrankRuehl" w:hAnsi="FrankRuehl" w:cs="FrankRuehl"/>
          <w:sz w:val="28"/>
          <w:szCs w:val="28"/>
          <w:rtl/>
        </w:rPr>
        <w:t xml:space="preserve"> </w:t>
      </w:r>
      <w:r w:rsidR="00AB67D7" w:rsidRPr="001A0B66">
        <w:rPr>
          <w:rFonts w:ascii="FrankRuehl" w:hAnsi="FrankRuehl" w:cs="FrankRuehl"/>
          <w:sz w:val="28"/>
          <w:szCs w:val="28"/>
          <w:rtl/>
        </w:rPr>
        <w:t xml:space="preserve">גם בכך </w:t>
      </w:r>
      <w:r w:rsidR="00614E27" w:rsidRPr="001A0B66">
        <w:rPr>
          <w:rFonts w:ascii="FrankRuehl" w:hAnsi="FrankRuehl" w:cs="FrankRuehl"/>
          <w:sz w:val="28"/>
          <w:szCs w:val="28"/>
          <w:rtl/>
        </w:rPr>
        <w:t xml:space="preserve">איננו מוצאים צורך, </w:t>
      </w:r>
      <w:r w:rsidR="001A2B6F" w:rsidRPr="001A0B66">
        <w:rPr>
          <w:rFonts w:ascii="FrankRuehl" w:hAnsi="FrankRuehl" w:cs="FrankRuehl"/>
          <w:sz w:val="28"/>
          <w:szCs w:val="28"/>
          <w:rtl/>
        </w:rPr>
        <w:t xml:space="preserve">שכן </w:t>
      </w:r>
      <w:r w:rsidR="008E33B0" w:rsidRPr="001A0B66">
        <w:rPr>
          <w:rFonts w:ascii="FrankRuehl" w:hAnsi="FrankRuehl" w:cs="FrankRuehl"/>
          <w:sz w:val="28"/>
          <w:szCs w:val="28"/>
          <w:rtl/>
        </w:rPr>
        <w:t xml:space="preserve">קיים </w:t>
      </w:r>
      <w:r w:rsidR="00AD7478" w:rsidRPr="001A0B66">
        <w:rPr>
          <w:rFonts w:ascii="FrankRuehl" w:hAnsi="FrankRuehl" w:cs="FrankRuehl"/>
          <w:sz w:val="28"/>
          <w:szCs w:val="28"/>
          <w:rtl/>
        </w:rPr>
        <w:t xml:space="preserve">מנגנון להענקת סיווג ביטחוני מיוחד בתיקים </w:t>
      </w:r>
      <w:r w:rsidR="004A1872" w:rsidRPr="001A0B66">
        <w:rPr>
          <w:rFonts w:ascii="FrankRuehl" w:hAnsi="FrankRuehl" w:cs="FrankRuehl"/>
          <w:sz w:val="28"/>
          <w:szCs w:val="28"/>
          <w:rtl/>
        </w:rPr>
        <w:t>ש</w:t>
      </w:r>
      <w:r w:rsidR="00AD7478" w:rsidRPr="001A0B66">
        <w:rPr>
          <w:rFonts w:ascii="FrankRuehl" w:hAnsi="FrankRuehl" w:cs="FrankRuehl"/>
          <w:sz w:val="28"/>
          <w:szCs w:val="28"/>
          <w:rtl/>
        </w:rPr>
        <w:t xml:space="preserve">בהם דורש זאת שר הביטחון, וכן </w:t>
      </w:r>
      <w:r w:rsidR="008E33B0" w:rsidRPr="001A0B66">
        <w:rPr>
          <w:rFonts w:ascii="FrankRuehl" w:hAnsi="FrankRuehl" w:cs="FrankRuehl"/>
          <w:sz w:val="28"/>
          <w:szCs w:val="28"/>
          <w:rtl/>
        </w:rPr>
        <w:t>הסדר מקביל בנוגע למינוי סנגורים בבתי דין צבאיים, כולל בדיונים הנערכים בדלתיים סגורות לשם מניעת פגיעה בביטחון המדינה.</w:t>
      </w:r>
      <w:r w:rsidR="00AD7478" w:rsidRPr="001A0B66">
        <w:rPr>
          <w:rFonts w:ascii="FrankRuehl" w:hAnsi="FrankRuehl" w:cs="FrankRuehl"/>
          <w:sz w:val="28"/>
          <w:szCs w:val="28"/>
          <w:vertAlign w:val="superscript"/>
          <w:rtl/>
        </w:rPr>
        <w:footnoteReference w:id="103"/>
      </w:r>
      <w:r w:rsidR="008E33B0" w:rsidRPr="001A0B66">
        <w:rPr>
          <w:rFonts w:ascii="FrankRuehl" w:hAnsi="FrankRuehl" w:cs="FrankRuehl"/>
          <w:sz w:val="28"/>
          <w:szCs w:val="28"/>
          <w:rtl/>
        </w:rPr>
        <w:t xml:space="preserve"> </w:t>
      </w:r>
      <w:r w:rsidR="00B6238E" w:rsidRPr="001A0B66">
        <w:rPr>
          <w:rFonts w:ascii="FrankRuehl" w:hAnsi="FrankRuehl" w:cs="FrankRuehl"/>
          <w:sz w:val="28"/>
          <w:szCs w:val="28"/>
          <w:rtl/>
        </w:rPr>
        <w:t>סעיף 7 לחוק שירות הביטחון הכללי ממנה את שירות הביטחון לקבוע את הקריטריונים לסיווג בטחוני, ו</w:t>
      </w:r>
      <w:r w:rsidR="004A1872" w:rsidRPr="001A0B66">
        <w:rPr>
          <w:rFonts w:ascii="FrankRuehl" w:hAnsi="FrankRuehl" w:cs="FrankRuehl"/>
          <w:sz w:val="28"/>
          <w:szCs w:val="28"/>
          <w:rtl/>
        </w:rPr>
        <w:t>סעיפים 317 ו-318 ל</w:t>
      </w:r>
      <w:r w:rsidR="008E33B0" w:rsidRPr="001A0B66">
        <w:rPr>
          <w:rFonts w:ascii="FrankRuehl" w:hAnsi="FrankRuehl" w:cs="FrankRuehl"/>
          <w:sz w:val="28"/>
          <w:szCs w:val="28"/>
          <w:rtl/>
        </w:rPr>
        <w:t xml:space="preserve">חוק השיפוט הצבאי, </w:t>
      </w:r>
      <w:proofErr w:type="spellStart"/>
      <w:r w:rsidR="00BF3CB3" w:rsidRPr="001A0B66">
        <w:rPr>
          <w:rFonts w:ascii="FrankRuehl" w:hAnsi="FrankRuehl" w:cs="FrankRuehl"/>
          <w:sz w:val="28"/>
          <w:szCs w:val="28"/>
          <w:rtl/>
        </w:rPr>
        <w:t>ה</w:t>
      </w:r>
      <w:r w:rsidR="008E33B0" w:rsidRPr="001A0B66">
        <w:rPr>
          <w:rFonts w:ascii="FrankRuehl" w:hAnsi="FrankRuehl" w:cs="FrankRuehl"/>
          <w:sz w:val="28"/>
          <w:szCs w:val="28"/>
          <w:rtl/>
        </w:rPr>
        <w:t>תשט"ו</w:t>
      </w:r>
      <w:proofErr w:type="spellEnd"/>
      <w:r w:rsidR="004A1872" w:rsidRPr="001A0B66">
        <w:rPr>
          <w:rFonts w:ascii="FrankRuehl" w:hAnsi="FrankRuehl" w:cs="FrankRuehl"/>
          <w:sz w:val="28"/>
          <w:szCs w:val="28"/>
          <w:rtl/>
        </w:rPr>
        <w:t>–</w:t>
      </w:r>
      <w:r w:rsidR="008E33B0" w:rsidRPr="001A0B66">
        <w:rPr>
          <w:rFonts w:ascii="FrankRuehl" w:hAnsi="FrankRuehl" w:cs="FrankRuehl"/>
          <w:sz w:val="28"/>
          <w:szCs w:val="28"/>
          <w:rtl/>
        </w:rPr>
        <w:t xml:space="preserve">1955 </w:t>
      </w:r>
      <w:r w:rsidR="004A1872" w:rsidRPr="001A0B66">
        <w:rPr>
          <w:rFonts w:ascii="FrankRuehl" w:hAnsi="FrankRuehl" w:cs="FrankRuehl"/>
          <w:sz w:val="28"/>
          <w:szCs w:val="28"/>
          <w:rtl/>
        </w:rPr>
        <w:t xml:space="preserve">מסדירים את הקמתה של </w:t>
      </w:r>
      <w:r w:rsidR="008E33B0" w:rsidRPr="001A0B66">
        <w:rPr>
          <w:rFonts w:ascii="FrankRuehl" w:hAnsi="FrankRuehl" w:cs="FrankRuehl"/>
          <w:sz w:val="28"/>
          <w:szCs w:val="28"/>
          <w:rtl/>
        </w:rPr>
        <w:t xml:space="preserve">ועדה שבראשה </w:t>
      </w:r>
      <w:r w:rsidR="004A1872" w:rsidRPr="001A0B66">
        <w:rPr>
          <w:rFonts w:ascii="FrankRuehl" w:hAnsi="FrankRuehl" w:cs="FrankRuehl"/>
          <w:sz w:val="28"/>
          <w:szCs w:val="28"/>
          <w:rtl/>
        </w:rPr>
        <w:t xml:space="preserve">עומד </w:t>
      </w:r>
      <w:r w:rsidR="008E33B0" w:rsidRPr="001A0B66">
        <w:rPr>
          <w:rFonts w:ascii="FrankRuehl" w:hAnsi="FrankRuehl" w:cs="FrankRuehl"/>
          <w:sz w:val="28"/>
          <w:szCs w:val="28"/>
          <w:rtl/>
        </w:rPr>
        <w:t xml:space="preserve">שופט בית המשפט העליון, וחבריה האחרים הם שני עורכי דין </w:t>
      </w:r>
      <w:r w:rsidR="004A1872" w:rsidRPr="001A0B66">
        <w:rPr>
          <w:rFonts w:ascii="FrankRuehl" w:hAnsi="FrankRuehl" w:cs="FrankRuehl"/>
          <w:sz w:val="28"/>
          <w:szCs w:val="28"/>
          <w:rtl/>
        </w:rPr>
        <w:t>שבחרו</w:t>
      </w:r>
      <w:r w:rsidR="008E33B0" w:rsidRPr="001A0B66">
        <w:rPr>
          <w:rFonts w:ascii="FrankRuehl" w:hAnsi="FrankRuehl" w:cs="FrankRuehl"/>
          <w:sz w:val="28"/>
          <w:szCs w:val="28"/>
          <w:rtl/>
        </w:rPr>
        <w:t xml:space="preserve"> לשכת עורכי הדין, מנכ"ל משרד המשפטים והפרקליט הצבאי הראשי. הוועדה </w:t>
      </w:r>
      <w:r w:rsidR="00B6238E" w:rsidRPr="001A0B66">
        <w:rPr>
          <w:rFonts w:ascii="FrankRuehl" w:hAnsi="FrankRuehl" w:cs="FrankRuehl"/>
          <w:sz w:val="28"/>
          <w:szCs w:val="28"/>
          <w:rtl/>
        </w:rPr>
        <w:t xml:space="preserve">דנה בבקשות ומעניקה סיווג ביטחוני לעורכי דין, היא </w:t>
      </w:r>
      <w:r w:rsidR="008E33B0" w:rsidRPr="001A0B66">
        <w:rPr>
          <w:rFonts w:ascii="FrankRuehl" w:hAnsi="FrankRuehl" w:cs="FrankRuehl"/>
          <w:sz w:val="28"/>
          <w:szCs w:val="28"/>
          <w:rtl/>
        </w:rPr>
        <w:t>רשאית לסרב להעניק אישור לעור</w:t>
      </w:r>
      <w:r w:rsidR="00E55186" w:rsidRPr="001A0B66">
        <w:rPr>
          <w:rFonts w:ascii="FrankRuehl" w:hAnsi="FrankRuehl" w:cs="FrankRuehl"/>
          <w:sz w:val="28"/>
          <w:szCs w:val="28"/>
          <w:rtl/>
        </w:rPr>
        <w:t>כת</w:t>
      </w:r>
      <w:r w:rsidR="008E33B0" w:rsidRPr="001A0B66">
        <w:rPr>
          <w:rFonts w:ascii="FrankRuehl" w:hAnsi="FrankRuehl" w:cs="FrankRuehl"/>
          <w:sz w:val="28"/>
          <w:szCs w:val="28"/>
          <w:rtl/>
        </w:rPr>
        <w:t xml:space="preserve"> דין</w:t>
      </w:r>
      <w:r w:rsidR="007B6C55" w:rsidRPr="001A0B66">
        <w:rPr>
          <w:rFonts w:ascii="FrankRuehl" w:hAnsi="FrankRuehl" w:cs="FrankRuehl"/>
          <w:sz w:val="28"/>
          <w:szCs w:val="28"/>
          <w:rtl/>
        </w:rPr>
        <w:t>,</w:t>
      </w:r>
      <w:r w:rsidR="008E33B0" w:rsidRPr="001A0B66">
        <w:rPr>
          <w:rFonts w:ascii="FrankRuehl" w:hAnsi="FrankRuehl" w:cs="FrankRuehl"/>
          <w:sz w:val="28"/>
          <w:szCs w:val="28"/>
          <w:rtl/>
        </w:rPr>
        <w:t xml:space="preserve"> להעניק לעור</w:t>
      </w:r>
      <w:r w:rsidR="00E55186" w:rsidRPr="001A0B66">
        <w:rPr>
          <w:rFonts w:ascii="FrankRuehl" w:hAnsi="FrankRuehl" w:cs="FrankRuehl"/>
          <w:sz w:val="28"/>
          <w:szCs w:val="28"/>
          <w:rtl/>
        </w:rPr>
        <w:t>כת</w:t>
      </w:r>
      <w:r w:rsidR="008E33B0" w:rsidRPr="001A0B66">
        <w:rPr>
          <w:rFonts w:ascii="FrankRuehl" w:hAnsi="FrankRuehl" w:cs="FrankRuehl"/>
          <w:sz w:val="28"/>
          <w:szCs w:val="28"/>
          <w:rtl/>
        </w:rPr>
        <w:t xml:space="preserve"> הדין אישור המכונה "בלתי מסויג" לתפקיד של סנגור בבית דין צבאי</w:t>
      </w:r>
      <w:r w:rsidR="007B6C55" w:rsidRPr="001A0B66">
        <w:rPr>
          <w:rFonts w:ascii="FrankRuehl" w:hAnsi="FrankRuehl" w:cs="FrankRuehl"/>
          <w:sz w:val="28"/>
          <w:szCs w:val="28"/>
          <w:rtl/>
        </w:rPr>
        <w:t xml:space="preserve"> או</w:t>
      </w:r>
      <w:r w:rsidR="008E33B0" w:rsidRPr="001A0B66">
        <w:rPr>
          <w:rFonts w:ascii="FrankRuehl" w:hAnsi="FrankRuehl" w:cs="FrankRuehl"/>
          <w:sz w:val="28"/>
          <w:szCs w:val="28"/>
          <w:rtl/>
        </w:rPr>
        <w:t xml:space="preserve"> להעניק "אישור מסויג" ולקבוע שלא יחול על משפט הנערך בדלתיים סגורות לשם מניעת פגיעה בביטחון המדינה. ביחס להחלטותיה של ועדה זו</w:t>
      </w:r>
      <w:r w:rsidR="007B6C55" w:rsidRPr="001A0B66">
        <w:rPr>
          <w:rFonts w:ascii="FrankRuehl" w:hAnsi="FrankRuehl" w:cs="FrankRuehl"/>
          <w:sz w:val="28"/>
          <w:szCs w:val="28"/>
          <w:rtl/>
        </w:rPr>
        <w:t xml:space="preserve"> נשמעו</w:t>
      </w:r>
      <w:r w:rsidR="00A178C2" w:rsidRPr="001A0B66">
        <w:rPr>
          <w:rFonts w:ascii="FrankRuehl" w:hAnsi="FrankRuehl" w:cs="FrankRuehl"/>
          <w:sz w:val="28"/>
          <w:szCs w:val="28"/>
          <w:rtl/>
        </w:rPr>
        <w:t xml:space="preserve"> </w:t>
      </w:r>
      <w:r w:rsidR="00D455AF" w:rsidRPr="001A0B66">
        <w:rPr>
          <w:rFonts w:ascii="FrankRuehl" w:hAnsi="FrankRuehl" w:cs="FrankRuehl"/>
          <w:sz w:val="28"/>
          <w:szCs w:val="28"/>
          <w:rtl/>
        </w:rPr>
        <w:t xml:space="preserve">בעבר </w:t>
      </w:r>
      <w:r w:rsidR="007B6C55" w:rsidRPr="001A0B66">
        <w:rPr>
          <w:rFonts w:ascii="FrankRuehl" w:hAnsi="FrankRuehl" w:cs="FrankRuehl"/>
          <w:sz w:val="28"/>
          <w:szCs w:val="28"/>
          <w:rtl/>
        </w:rPr>
        <w:t>הסתייגויות</w:t>
      </w:r>
      <w:r w:rsidR="00A178C2" w:rsidRPr="001A0B66">
        <w:rPr>
          <w:rFonts w:ascii="FrankRuehl" w:hAnsi="FrankRuehl" w:cs="FrankRuehl"/>
          <w:sz w:val="28"/>
          <w:szCs w:val="28"/>
          <w:rtl/>
        </w:rPr>
        <w:t>, שהגיעו לבירור משפטי</w:t>
      </w:r>
      <w:r w:rsidR="008E33B0" w:rsidRPr="001A0B66">
        <w:rPr>
          <w:rFonts w:ascii="FrankRuehl" w:hAnsi="FrankRuehl" w:cs="FrankRuehl"/>
          <w:sz w:val="28"/>
          <w:szCs w:val="28"/>
          <w:rtl/>
        </w:rPr>
        <w:t>,</w:t>
      </w:r>
      <w:r w:rsidR="008E33B0" w:rsidRPr="001A0B66">
        <w:rPr>
          <w:rStyle w:val="FootnoteReference"/>
          <w:rFonts w:ascii="FrankRuehl" w:hAnsi="FrankRuehl" w:cs="FrankRuehl"/>
          <w:sz w:val="28"/>
          <w:szCs w:val="28"/>
          <w:rtl/>
        </w:rPr>
        <w:footnoteReference w:id="104"/>
      </w:r>
      <w:r w:rsidR="008E33B0" w:rsidRPr="001A0B66">
        <w:rPr>
          <w:rFonts w:ascii="FrankRuehl" w:hAnsi="FrankRuehl" w:cs="FrankRuehl"/>
          <w:sz w:val="28"/>
          <w:szCs w:val="28"/>
          <w:rtl/>
        </w:rPr>
        <w:t xml:space="preserve"> </w:t>
      </w:r>
      <w:r w:rsidR="00F70309" w:rsidRPr="001A0B66">
        <w:rPr>
          <w:rFonts w:ascii="FrankRuehl" w:hAnsi="FrankRuehl" w:cs="FrankRuehl"/>
          <w:sz w:val="28"/>
          <w:szCs w:val="28"/>
          <w:rtl/>
        </w:rPr>
        <w:t>וי</w:t>
      </w:r>
      <w:r w:rsidR="00704948" w:rsidRPr="001A0B66">
        <w:rPr>
          <w:rFonts w:ascii="FrankRuehl" w:hAnsi="FrankRuehl" w:cs="FrankRuehl"/>
          <w:sz w:val="28"/>
          <w:szCs w:val="28"/>
          <w:rtl/>
        </w:rPr>
        <w:t>י</w:t>
      </w:r>
      <w:r w:rsidR="00F70309" w:rsidRPr="001A0B66">
        <w:rPr>
          <w:rFonts w:ascii="FrankRuehl" w:hAnsi="FrankRuehl" w:cs="FrankRuehl"/>
          <w:sz w:val="28"/>
          <w:szCs w:val="28"/>
          <w:rtl/>
        </w:rPr>
        <w:t xml:space="preserve">תכן כי </w:t>
      </w:r>
      <w:r w:rsidR="008E33B0" w:rsidRPr="001A0B66">
        <w:rPr>
          <w:rFonts w:ascii="FrankRuehl" w:hAnsi="FrankRuehl" w:cs="FrankRuehl"/>
          <w:sz w:val="28"/>
          <w:szCs w:val="28"/>
          <w:rtl/>
        </w:rPr>
        <w:t xml:space="preserve">יש מקום לשיפור פעולתה, </w:t>
      </w:r>
      <w:r w:rsidR="00F70309" w:rsidRPr="001A0B66">
        <w:rPr>
          <w:rFonts w:ascii="FrankRuehl" w:hAnsi="FrankRuehl" w:cs="FrankRuehl"/>
          <w:sz w:val="28"/>
          <w:szCs w:val="28"/>
          <w:rtl/>
        </w:rPr>
        <w:t xml:space="preserve">אולם </w:t>
      </w:r>
      <w:r w:rsidR="008E33B0" w:rsidRPr="001A0B66">
        <w:rPr>
          <w:rFonts w:ascii="FrankRuehl" w:hAnsi="FrankRuehl" w:cs="FrankRuehl"/>
          <w:sz w:val="28"/>
          <w:szCs w:val="28"/>
          <w:rtl/>
        </w:rPr>
        <w:t>זו הוועדה שגם בהליכי</w:t>
      </w:r>
      <w:r w:rsidR="00B24E34" w:rsidRPr="001A0B66">
        <w:rPr>
          <w:rFonts w:ascii="FrankRuehl" w:hAnsi="FrankRuehl" w:cs="FrankRuehl"/>
          <w:sz w:val="28"/>
          <w:szCs w:val="28"/>
          <w:rtl/>
        </w:rPr>
        <w:t>ם</w:t>
      </w:r>
      <w:r w:rsidR="008E33B0" w:rsidRPr="001A0B66">
        <w:rPr>
          <w:rFonts w:ascii="FrankRuehl" w:hAnsi="FrankRuehl" w:cs="FrankRuehl"/>
          <w:sz w:val="28"/>
          <w:szCs w:val="28"/>
          <w:rtl/>
        </w:rPr>
        <w:t xml:space="preserve"> פליליים רגילים נזקקים אליה,</w:t>
      </w:r>
      <w:r w:rsidR="008E33B0" w:rsidRPr="001A0B66">
        <w:rPr>
          <w:rStyle w:val="FootnoteReference"/>
          <w:rFonts w:ascii="FrankRuehl" w:hAnsi="FrankRuehl" w:cs="FrankRuehl"/>
          <w:sz w:val="28"/>
          <w:szCs w:val="28"/>
          <w:rtl/>
        </w:rPr>
        <w:footnoteReference w:id="105"/>
      </w:r>
      <w:r w:rsidR="008E33B0" w:rsidRPr="001A0B66">
        <w:rPr>
          <w:rFonts w:ascii="FrankRuehl" w:hAnsi="FrankRuehl" w:cs="FrankRuehl"/>
          <w:sz w:val="28"/>
          <w:szCs w:val="28"/>
          <w:rtl/>
        </w:rPr>
        <w:t xml:space="preserve"> והסתמכות על מנגנון זה תכליל כבר כעת במסגרת מאגר עורכי הדין המיוחדים את כל הסנגורים שקיבלו אישור בעבר.</w:t>
      </w:r>
    </w:p>
    <w:p w14:paraId="5D999E68" w14:textId="77777777" w:rsidR="00A178C2" w:rsidRPr="001A0B66" w:rsidRDefault="008E33B0"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בדומה לדרך המינוי בבריטניה, ראוי כי הרשימה </w:t>
      </w:r>
      <w:r w:rsidR="00DA2D8A" w:rsidRPr="001A0B66">
        <w:rPr>
          <w:rFonts w:ascii="FrankRuehl" w:hAnsi="FrankRuehl" w:cs="FrankRuehl"/>
          <w:sz w:val="28"/>
          <w:szCs w:val="28"/>
          <w:rtl/>
        </w:rPr>
        <w:t>שתגבש הוועדה</w:t>
      </w:r>
      <w:r w:rsidRPr="001A0B66">
        <w:rPr>
          <w:rFonts w:ascii="FrankRuehl" w:hAnsi="FrankRuehl" w:cs="FrankRuehl"/>
          <w:sz w:val="28"/>
          <w:szCs w:val="28"/>
          <w:rtl/>
        </w:rPr>
        <w:t xml:space="preserve"> לפי סעיף 7(א) להצעת החוק תה</w:t>
      </w:r>
      <w:r w:rsidR="00901503" w:rsidRPr="001A0B66">
        <w:rPr>
          <w:rFonts w:ascii="FrankRuehl" w:hAnsi="FrankRuehl" w:cs="FrankRuehl"/>
          <w:sz w:val="28"/>
          <w:szCs w:val="28"/>
          <w:rtl/>
        </w:rPr>
        <w:t>יה</w:t>
      </w:r>
      <w:r w:rsidRPr="001A0B66">
        <w:rPr>
          <w:rFonts w:ascii="FrankRuehl" w:hAnsi="FrankRuehl" w:cs="FrankRuehl"/>
          <w:sz w:val="28"/>
          <w:szCs w:val="28"/>
          <w:rtl/>
        </w:rPr>
        <w:t xml:space="preserve"> מקרב עורכות דין ועורכי דין</w:t>
      </w:r>
      <w:r w:rsidR="007B6C55" w:rsidRPr="001A0B66">
        <w:rPr>
          <w:rFonts w:ascii="FrankRuehl" w:hAnsi="FrankRuehl" w:cs="FrankRuehl"/>
          <w:sz w:val="28"/>
          <w:szCs w:val="28"/>
          <w:rtl/>
        </w:rPr>
        <w:t xml:space="preserve"> פרטיים</w:t>
      </w:r>
      <w:r w:rsidRPr="001A0B66">
        <w:rPr>
          <w:rFonts w:ascii="FrankRuehl" w:hAnsi="FrankRuehl" w:cs="FrankRuehl"/>
          <w:sz w:val="28"/>
          <w:szCs w:val="28"/>
          <w:rtl/>
        </w:rPr>
        <w:t xml:space="preserve"> </w:t>
      </w:r>
      <w:r w:rsidR="00D73900" w:rsidRPr="001A0B66">
        <w:rPr>
          <w:rFonts w:ascii="FrankRuehl" w:hAnsi="FrankRuehl" w:cs="FrankRuehl"/>
          <w:sz w:val="28"/>
          <w:szCs w:val="28"/>
          <w:rtl/>
        </w:rPr>
        <w:t xml:space="preserve">וכן כאלה </w:t>
      </w:r>
      <w:r w:rsidR="007B6C55" w:rsidRPr="001A0B66">
        <w:rPr>
          <w:rFonts w:ascii="FrankRuehl" w:hAnsi="FrankRuehl" w:cs="FrankRuehl"/>
          <w:sz w:val="28"/>
          <w:szCs w:val="28"/>
          <w:rtl/>
        </w:rPr>
        <w:t>שמעסיקה</w:t>
      </w:r>
      <w:r w:rsidRPr="001A0B66">
        <w:rPr>
          <w:rFonts w:ascii="FrankRuehl" w:hAnsi="FrankRuehl" w:cs="FrankRuehl"/>
          <w:sz w:val="28"/>
          <w:szCs w:val="28"/>
          <w:rtl/>
        </w:rPr>
        <w:t xml:space="preserve"> הסנגוריה הציבורית, שהביעו רצו</w:t>
      </w:r>
      <w:r w:rsidR="007B6C55" w:rsidRPr="001A0B66">
        <w:rPr>
          <w:rFonts w:ascii="FrankRuehl" w:hAnsi="FrankRuehl" w:cs="FrankRuehl"/>
          <w:sz w:val="28"/>
          <w:szCs w:val="28"/>
          <w:rtl/>
        </w:rPr>
        <w:t>ן</w:t>
      </w:r>
      <w:r w:rsidRPr="001A0B66">
        <w:rPr>
          <w:rFonts w:ascii="FrankRuehl" w:hAnsi="FrankRuehl" w:cs="FrankRuehl"/>
          <w:sz w:val="28"/>
          <w:szCs w:val="28"/>
          <w:rtl/>
        </w:rPr>
        <w:t xml:space="preserve"> להתמנות </w:t>
      </w:r>
      <w:r w:rsidR="00B254E6" w:rsidRPr="001A0B66">
        <w:rPr>
          <w:rFonts w:ascii="FrankRuehl" w:hAnsi="FrankRuehl" w:cs="FrankRuehl"/>
          <w:sz w:val="28"/>
          <w:szCs w:val="28"/>
          <w:rtl/>
        </w:rPr>
        <w:t>ל</w:t>
      </w:r>
      <w:r w:rsidRPr="001A0B66">
        <w:rPr>
          <w:rFonts w:ascii="FrankRuehl" w:hAnsi="FrankRuehl" w:cs="FrankRuehl"/>
          <w:sz w:val="28"/>
          <w:szCs w:val="28"/>
          <w:rtl/>
        </w:rPr>
        <w:t>עורכי דין מיוחדים. כך, בדומה לסנגורים בסנגוריה הציבורית י</w:t>
      </w:r>
      <w:r w:rsidR="00901503" w:rsidRPr="001A0B66">
        <w:rPr>
          <w:rFonts w:ascii="FrankRuehl" w:hAnsi="FrankRuehl" w:cs="FrankRuehl"/>
          <w:sz w:val="28"/>
          <w:szCs w:val="28"/>
          <w:rtl/>
        </w:rPr>
        <w:t>גיעו</w:t>
      </w:r>
      <w:r w:rsidR="002026F7" w:rsidRPr="001A0B66">
        <w:rPr>
          <w:rFonts w:ascii="FrankRuehl" w:hAnsi="FrankRuehl" w:cs="FrankRuehl"/>
          <w:sz w:val="28"/>
          <w:szCs w:val="28"/>
          <w:rtl/>
        </w:rPr>
        <w:t xml:space="preserve"> גם</w:t>
      </w:r>
      <w:r w:rsidRPr="001A0B66">
        <w:rPr>
          <w:rFonts w:ascii="FrankRuehl" w:hAnsi="FrankRuehl" w:cs="FrankRuehl"/>
          <w:sz w:val="28"/>
          <w:szCs w:val="28"/>
          <w:rtl/>
        </w:rPr>
        <w:t xml:space="preserve"> עורכות הדין המיוחדות </w:t>
      </w:r>
      <w:r w:rsidR="00901503" w:rsidRPr="001A0B66">
        <w:rPr>
          <w:rFonts w:ascii="FrankRuehl" w:hAnsi="FrankRuehl" w:cs="FrankRuehl"/>
          <w:sz w:val="28"/>
          <w:szCs w:val="28"/>
          <w:rtl/>
        </w:rPr>
        <w:t xml:space="preserve">הן </w:t>
      </w:r>
      <w:r w:rsidRPr="001A0B66">
        <w:rPr>
          <w:rFonts w:ascii="FrankRuehl" w:hAnsi="FrankRuehl" w:cs="FrankRuehl"/>
          <w:sz w:val="28"/>
          <w:szCs w:val="28"/>
          <w:rtl/>
        </w:rPr>
        <w:t xml:space="preserve">משורות הסנגוריה הציבורית </w:t>
      </w:r>
      <w:r w:rsidR="00901503" w:rsidRPr="001A0B66">
        <w:rPr>
          <w:rFonts w:ascii="FrankRuehl" w:hAnsi="FrankRuehl" w:cs="FrankRuehl"/>
          <w:sz w:val="28"/>
          <w:szCs w:val="28"/>
          <w:rtl/>
        </w:rPr>
        <w:t xml:space="preserve">והן </w:t>
      </w:r>
      <w:r w:rsidR="00B254E6" w:rsidRPr="001A0B66">
        <w:rPr>
          <w:rFonts w:ascii="FrankRuehl" w:hAnsi="FrankRuehl" w:cs="FrankRuehl"/>
          <w:sz w:val="28"/>
          <w:szCs w:val="28"/>
          <w:rtl/>
        </w:rPr>
        <w:t xml:space="preserve">מקרב </w:t>
      </w:r>
      <w:r w:rsidRPr="001A0B66">
        <w:rPr>
          <w:rFonts w:ascii="FrankRuehl" w:hAnsi="FrankRuehl" w:cs="FrankRuehl"/>
          <w:sz w:val="28"/>
          <w:szCs w:val="28"/>
          <w:rtl/>
        </w:rPr>
        <w:t xml:space="preserve">עורכי </w:t>
      </w:r>
      <w:r w:rsidR="00B254E6" w:rsidRPr="001A0B66">
        <w:rPr>
          <w:rFonts w:ascii="FrankRuehl" w:hAnsi="FrankRuehl" w:cs="FrankRuehl"/>
          <w:sz w:val="28"/>
          <w:szCs w:val="28"/>
          <w:rtl/>
        </w:rPr>
        <w:t>ה</w:t>
      </w:r>
      <w:r w:rsidRPr="001A0B66">
        <w:rPr>
          <w:rFonts w:ascii="FrankRuehl" w:hAnsi="FrankRuehl" w:cs="FrankRuehl"/>
          <w:sz w:val="28"/>
          <w:szCs w:val="28"/>
          <w:rtl/>
        </w:rPr>
        <w:t xml:space="preserve">דין </w:t>
      </w:r>
      <w:r w:rsidR="00B254E6" w:rsidRPr="001A0B66">
        <w:rPr>
          <w:rFonts w:ascii="FrankRuehl" w:hAnsi="FrankRuehl" w:cs="FrankRuehl"/>
          <w:sz w:val="28"/>
          <w:szCs w:val="28"/>
          <w:rtl/>
        </w:rPr>
        <w:t>ה</w:t>
      </w:r>
      <w:r w:rsidRPr="001A0B66">
        <w:rPr>
          <w:rFonts w:ascii="FrankRuehl" w:hAnsi="FrankRuehl" w:cs="FrankRuehl"/>
          <w:sz w:val="28"/>
          <w:szCs w:val="28"/>
          <w:rtl/>
        </w:rPr>
        <w:t xml:space="preserve">פרטיים </w:t>
      </w:r>
      <w:r w:rsidR="00B254E6" w:rsidRPr="001A0B66">
        <w:rPr>
          <w:rFonts w:ascii="FrankRuehl" w:hAnsi="FrankRuehl" w:cs="FrankRuehl"/>
          <w:sz w:val="28"/>
          <w:szCs w:val="28"/>
          <w:rtl/>
        </w:rPr>
        <w:t>ש</w:t>
      </w:r>
      <w:r w:rsidRPr="001A0B66">
        <w:rPr>
          <w:rFonts w:ascii="FrankRuehl" w:hAnsi="FrankRuehl" w:cs="FrankRuehl"/>
          <w:sz w:val="28"/>
          <w:szCs w:val="28"/>
          <w:rtl/>
        </w:rPr>
        <w:t>בצד פעילותם הרגילה</w:t>
      </w:r>
      <w:r w:rsidR="00B254E6" w:rsidRPr="001A0B66">
        <w:rPr>
          <w:rFonts w:ascii="FrankRuehl" w:hAnsi="FrankRuehl" w:cs="FrankRuehl"/>
          <w:sz w:val="28"/>
          <w:szCs w:val="28"/>
          <w:rtl/>
        </w:rPr>
        <w:t xml:space="preserve"> מועסקים</w:t>
      </w:r>
      <w:r w:rsidRPr="001A0B66">
        <w:rPr>
          <w:rFonts w:ascii="FrankRuehl" w:hAnsi="FrankRuehl" w:cs="FrankRuehl"/>
          <w:sz w:val="28"/>
          <w:szCs w:val="28"/>
          <w:rtl/>
        </w:rPr>
        <w:t xml:space="preserve"> </w:t>
      </w:r>
      <w:r w:rsidR="00B254E6" w:rsidRPr="001A0B66">
        <w:rPr>
          <w:rFonts w:ascii="FrankRuehl" w:hAnsi="FrankRuehl" w:cs="FrankRuehl"/>
          <w:sz w:val="28"/>
          <w:szCs w:val="28"/>
          <w:rtl/>
        </w:rPr>
        <w:t>ב</w:t>
      </w:r>
      <w:r w:rsidRPr="001A0B66">
        <w:rPr>
          <w:rFonts w:ascii="FrankRuehl" w:hAnsi="FrankRuehl" w:cs="FrankRuehl"/>
          <w:sz w:val="28"/>
          <w:szCs w:val="28"/>
          <w:rtl/>
        </w:rPr>
        <w:t xml:space="preserve">סנגוריה. כמו בהליכים פליליים רגילים, </w:t>
      </w:r>
      <w:r w:rsidR="00FB72D9" w:rsidRPr="001A0B66">
        <w:rPr>
          <w:rFonts w:ascii="FrankRuehl" w:hAnsi="FrankRuehl" w:cs="FrankRuehl"/>
          <w:sz w:val="28"/>
          <w:szCs w:val="28"/>
          <w:rtl/>
        </w:rPr>
        <w:t xml:space="preserve">גם כאן יוכל העצור לבחור </w:t>
      </w:r>
      <w:r w:rsidRPr="001A0B66">
        <w:rPr>
          <w:rFonts w:ascii="FrankRuehl" w:hAnsi="FrankRuehl" w:cs="FrankRuehl"/>
          <w:sz w:val="28"/>
          <w:szCs w:val="28"/>
          <w:rtl/>
        </w:rPr>
        <w:t xml:space="preserve">אם למנות עורכת דין פרטית מתוך הרשימה שתובא לעיונו עם צו המעצר </w:t>
      </w:r>
      <w:r w:rsidR="00A0287D" w:rsidRPr="001A0B66">
        <w:rPr>
          <w:rFonts w:ascii="FrankRuehl" w:hAnsi="FrankRuehl" w:cs="FrankRuehl"/>
          <w:sz w:val="28"/>
          <w:szCs w:val="28"/>
          <w:rtl/>
        </w:rPr>
        <w:t xml:space="preserve">המנהלי </w:t>
      </w:r>
      <w:r w:rsidR="008F3F7D" w:rsidRPr="001A0B66">
        <w:rPr>
          <w:rFonts w:ascii="FrankRuehl" w:hAnsi="FrankRuehl" w:cs="FrankRuehl"/>
          <w:sz w:val="28"/>
          <w:szCs w:val="28"/>
          <w:rtl/>
        </w:rPr>
        <w:t>(</w:t>
      </w:r>
      <w:r w:rsidR="00A0287D" w:rsidRPr="001A0B66">
        <w:rPr>
          <w:rFonts w:ascii="FrankRuehl" w:hAnsi="FrankRuehl" w:cs="FrankRuehl"/>
          <w:sz w:val="28"/>
          <w:szCs w:val="28"/>
          <w:rtl/>
        </w:rPr>
        <w:t>או צו מגביל אחר</w:t>
      </w:r>
      <w:r w:rsidR="008F3F7D" w:rsidRPr="001A0B66">
        <w:rPr>
          <w:rFonts w:ascii="FrankRuehl" w:hAnsi="FrankRuehl" w:cs="FrankRuehl"/>
          <w:sz w:val="28"/>
          <w:szCs w:val="28"/>
          <w:rtl/>
        </w:rPr>
        <w:t>)</w:t>
      </w:r>
      <w:r w:rsidR="00A0287D" w:rsidRPr="001A0B66">
        <w:rPr>
          <w:rFonts w:ascii="FrankRuehl" w:hAnsi="FrankRuehl" w:cs="FrankRuehl"/>
          <w:sz w:val="28"/>
          <w:szCs w:val="28"/>
          <w:rtl/>
        </w:rPr>
        <w:t xml:space="preserve"> </w:t>
      </w:r>
      <w:r w:rsidRPr="001A0B66">
        <w:rPr>
          <w:rFonts w:ascii="FrankRuehl" w:hAnsi="FrankRuehl" w:cs="FrankRuehl"/>
          <w:sz w:val="28"/>
          <w:szCs w:val="28"/>
          <w:rtl/>
        </w:rPr>
        <w:t xml:space="preserve">או לפנות לסנגוריה הציבורית ולבקש </w:t>
      </w:r>
      <w:r w:rsidR="00FB72D9" w:rsidRPr="001A0B66">
        <w:rPr>
          <w:rFonts w:ascii="FrankRuehl" w:hAnsi="FrankRuehl" w:cs="FrankRuehl"/>
          <w:sz w:val="28"/>
          <w:szCs w:val="28"/>
          <w:rtl/>
        </w:rPr>
        <w:t xml:space="preserve">למנות לו </w:t>
      </w:r>
      <w:r w:rsidRPr="001A0B66">
        <w:rPr>
          <w:rFonts w:ascii="FrankRuehl" w:hAnsi="FrankRuehl" w:cs="FrankRuehl"/>
          <w:sz w:val="28"/>
          <w:szCs w:val="28"/>
          <w:rtl/>
        </w:rPr>
        <w:t>עורכת דין מיוחדת ציבורית.</w:t>
      </w:r>
      <w:r w:rsidR="00F70309" w:rsidRPr="001A0B66">
        <w:rPr>
          <w:rFonts w:ascii="FrankRuehl" w:hAnsi="FrankRuehl" w:cs="FrankRuehl"/>
          <w:sz w:val="28"/>
          <w:szCs w:val="28"/>
          <w:rtl/>
        </w:rPr>
        <w:t xml:space="preserve"> </w:t>
      </w:r>
    </w:p>
    <w:p w14:paraId="695ED817" w14:textId="77777777" w:rsidR="008E33B0" w:rsidRPr="001A0B66" w:rsidRDefault="008E33B0"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קונקרטית, יש לוודא כי גם עורכי</w:t>
      </w:r>
      <w:r w:rsidR="00FB72D9" w:rsidRPr="001A0B66">
        <w:rPr>
          <w:rFonts w:ascii="FrankRuehl" w:hAnsi="FrankRuehl" w:cs="FrankRuehl"/>
          <w:sz w:val="28"/>
          <w:szCs w:val="28"/>
          <w:rtl/>
        </w:rPr>
        <w:t xml:space="preserve"> דין</w:t>
      </w:r>
      <w:r w:rsidR="00E55186" w:rsidRPr="001A0B66">
        <w:rPr>
          <w:rFonts w:ascii="FrankRuehl" w:hAnsi="FrankRuehl" w:cs="FrankRuehl"/>
          <w:sz w:val="28"/>
          <w:szCs w:val="28"/>
          <w:rtl/>
        </w:rPr>
        <w:t xml:space="preserve"> ועורכות</w:t>
      </w:r>
      <w:r w:rsidRPr="001A0B66">
        <w:rPr>
          <w:rFonts w:ascii="FrankRuehl" w:hAnsi="FrankRuehl" w:cs="FrankRuehl"/>
          <w:sz w:val="28"/>
          <w:szCs w:val="28"/>
          <w:rtl/>
        </w:rPr>
        <w:t xml:space="preserve"> דין ערבים ועורכי דין הפועלים בתחום זכויות האדם יזכו לסיווג ביטחוני מתאים על פי קריטריונים ענייניים.</w:t>
      </w:r>
      <w:r w:rsidR="000919F1" w:rsidRPr="001A0B66">
        <w:rPr>
          <w:rFonts w:ascii="FrankRuehl" w:hAnsi="FrankRuehl" w:cs="FrankRuehl"/>
          <w:sz w:val="28"/>
          <w:szCs w:val="28"/>
          <w:rtl/>
        </w:rPr>
        <w:t xml:space="preserve"> </w:t>
      </w:r>
      <w:r w:rsidR="00FB72D9" w:rsidRPr="001A0B66">
        <w:rPr>
          <w:rFonts w:ascii="FrankRuehl" w:hAnsi="FrankRuehl" w:cs="FrankRuehl"/>
          <w:sz w:val="28"/>
          <w:szCs w:val="28"/>
          <w:rtl/>
        </w:rPr>
        <w:t>אנו מתנגדים נחרצות</w:t>
      </w:r>
      <w:r w:rsidRPr="001A0B66">
        <w:rPr>
          <w:rFonts w:ascii="FrankRuehl" w:hAnsi="FrankRuehl" w:cs="FrankRuehl"/>
          <w:sz w:val="28"/>
          <w:szCs w:val="28"/>
          <w:rtl/>
        </w:rPr>
        <w:t xml:space="preserve"> לכל סיווג ש</w:t>
      </w:r>
      <w:r w:rsidR="00CE2345" w:rsidRPr="001A0B66">
        <w:rPr>
          <w:rFonts w:ascii="FrankRuehl" w:hAnsi="FrankRuehl" w:cs="FrankRuehl"/>
          <w:sz w:val="28"/>
          <w:szCs w:val="28"/>
          <w:rtl/>
        </w:rPr>
        <w:t xml:space="preserve">יציב </w:t>
      </w:r>
      <w:r w:rsidRPr="001A0B66">
        <w:rPr>
          <w:rFonts w:ascii="FrankRuehl" w:hAnsi="FrankRuehl" w:cs="FrankRuehl"/>
          <w:sz w:val="28"/>
          <w:szCs w:val="28"/>
          <w:rtl/>
        </w:rPr>
        <w:t>שירות צבאי או שירות אזרחי כתנאי לתפקיד.</w:t>
      </w:r>
      <w:r w:rsidR="00BE2BFD" w:rsidRPr="001A0B66">
        <w:rPr>
          <w:rStyle w:val="FootnoteReference"/>
          <w:rFonts w:ascii="FrankRuehl" w:hAnsi="FrankRuehl" w:cs="FrankRuehl"/>
          <w:rtl/>
        </w:rPr>
        <w:footnoteReference w:id="106"/>
      </w:r>
      <w:r w:rsidRPr="001A0B66">
        <w:rPr>
          <w:rFonts w:ascii="FrankRuehl" w:hAnsi="FrankRuehl" w:cs="FrankRuehl"/>
          <w:sz w:val="28"/>
          <w:szCs w:val="28"/>
          <w:rtl/>
        </w:rPr>
        <w:t xml:space="preserve"> כשם שעורכי דין ערבים שלא ש</w:t>
      </w:r>
      <w:r w:rsidR="00FB72D9" w:rsidRPr="001A0B66">
        <w:rPr>
          <w:rFonts w:ascii="FrankRuehl" w:hAnsi="FrankRuehl" w:cs="FrankRuehl"/>
          <w:sz w:val="28"/>
          <w:szCs w:val="28"/>
          <w:rtl/>
        </w:rPr>
        <w:t>י</w:t>
      </w:r>
      <w:r w:rsidRPr="001A0B66">
        <w:rPr>
          <w:rFonts w:ascii="FrankRuehl" w:hAnsi="FrankRuehl" w:cs="FrankRuehl"/>
          <w:sz w:val="28"/>
          <w:szCs w:val="28"/>
          <w:rtl/>
        </w:rPr>
        <w:t xml:space="preserve">רתו </w:t>
      </w:r>
      <w:r w:rsidR="00FB72D9" w:rsidRPr="001A0B66">
        <w:rPr>
          <w:rFonts w:ascii="FrankRuehl" w:hAnsi="FrankRuehl" w:cs="FrankRuehl"/>
          <w:sz w:val="28"/>
          <w:szCs w:val="28"/>
          <w:rtl/>
        </w:rPr>
        <w:t>ב</w:t>
      </w:r>
      <w:r w:rsidRPr="001A0B66">
        <w:rPr>
          <w:rFonts w:ascii="FrankRuehl" w:hAnsi="FrankRuehl" w:cs="FrankRuehl"/>
          <w:sz w:val="28"/>
          <w:szCs w:val="28"/>
          <w:rtl/>
        </w:rPr>
        <w:t>שירות צבאי או אזרחי מתמנים</w:t>
      </w:r>
      <w:r w:rsidR="00FB72D9" w:rsidRPr="001A0B66">
        <w:rPr>
          <w:rFonts w:ascii="FrankRuehl" w:hAnsi="FrankRuehl" w:cs="FrankRuehl"/>
          <w:sz w:val="28"/>
          <w:szCs w:val="28"/>
          <w:rtl/>
        </w:rPr>
        <w:t xml:space="preserve"> –</w:t>
      </w:r>
      <w:r w:rsidRPr="001A0B66">
        <w:rPr>
          <w:rFonts w:ascii="FrankRuehl" w:hAnsi="FrankRuehl" w:cs="FrankRuehl"/>
          <w:sz w:val="28"/>
          <w:szCs w:val="28"/>
          <w:rtl/>
        </w:rPr>
        <w:t xml:space="preserve"> בצדק מוחלט</w:t>
      </w:r>
      <w:r w:rsidR="00FB72D9" w:rsidRPr="001A0B66">
        <w:rPr>
          <w:rFonts w:ascii="FrankRuehl" w:hAnsi="FrankRuehl" w:cs="FrankRuehl"/>
          <w:sz w:val="28"/>
          <w:szCs w:val="28"/>
          <w:rtl/>
        </w:rPr>
        <w:t xml:space="preserve"> –</w:t>
      </w:r>
      <w:r w:rsidRPr="001A0B66">
        <w:rPr>
          <w:rFonts w:ascii="FrankRuehl" w:hAnsi="FrankRuehl" w:cs="FrankRuehl"/>
          <w:sz w:val="28"/>
          <w:szCs w:val="28"/>
          <w:rtl/>
        </w:rPr>
        <w:t xml:space="preserve"> לתפקידי שיפוט, כך צריכים להתמנות עורכי הדין המיוחדים. אזרחותם, ניסיונם המקצועי </w:t>
      </w:r>
      <w:r w:rsidR="00FB72D9" w:rsidRPr="001A0B66">
        <w:rPr>
          <w:rFonts w:ascii="FrankRuehl" w:hAnsi="FrankRuehl" w:cs="FrankRuehl"/>
          <w:sz w:val="28"/>
          <w:szCs w:val="28"/>
          <w:rtl/>
        </w:rPr>
        <w:t>והמוניטין</w:t>
      </w:r>
      <w:r w:rsidRPr="001A0B66">
        <w:rPr>
          <w:rFonts w:ascii="FrankRuehl" w:hAnsi="FrankRuehl" w:cs="FrankRuehl"/>
          <w:sz w:val="28"/>
          <w:szCs w:val="28"/>
          <w:rtl/>
        </w:rPr>
        <w:t xml:space="preserve"> שלהם כשומרי חוק צריכים להספיק לסיווג הביטחוני הנדרש. גם מבחינה זו</w:t>
      </w:r>
      <w:r w:rsidR="00763972" w:rsidRPr="001A0B66">
        <w:rPr>
          <w:rFonts w:ascii="FrankRuehl" w:hAnsi="FrankRuehl" w:cs="FrankRuehl"/>
          <w:sz w:val="28"/>
          <w:szCs w:val="28"/>
          <w:rtl/>
        </w:rPr>
        <w:t xml:space="preserve"> ההצעה להעניק לסנגוריה הציבורית אחריות רבה עוד יותר ולהכפיף אליה את הסדר</w:t>
      </w:r>
      <w:r w:rsidRPr="001A0B66">
        <w:rPr>
          <w:rFonts w:ascii="FrankRuehl" w:hAnsi="FrankRuehl" w:cs="FrankRuehl"/>
          <w:sz w:val="28"/>
          <w:szCs w:val="28"/>
          <w:rtl/>
        </w:rPr>
        <w:t xml:space="preserve"> עורכי הדין המיוחדים פותרת בעיות רבות, שכן </w:t>
      </w:r>
      <w:r w:rsidR="00FB72D9" w:rsidRPr="001A0B66">
        <w:rPr>
          <w:rFonts w:ascii="FrankRuehl" w:hAnsi="FrankRuehl" w:cs="FrankRuehl"/>
          <w:sz w:val="28"/>
          <w:szCs w:val="28"/>
          <w:rtl/>
        </w:rPr>
        <w:t>ל</w:t>
      </w:r>
      <w:r w:rsidRPr="001A0B66">
        <w:rPr>
          <w:rFonts w:ascii="FrankRuehl" w:hAnsi="FrankRuehl" w:cs="FrankRuehl"/>
          <w:sz w:val="28"/>
          <w:szCs w:val="28"/>
          <w:rtl/>
        </w:rPr>
        <w:t xml:space="preserve">סנגוריה הציבורית מאגר גדול ומגוון של עורכי דין והיא מקיימת הליכי מינוי שגרתיים ועצמאיים, הכוללים ממילא התחשבות בדרישות החוק לעניין סיווג ביטחוני. </w:t>
      </w:r>
    </w:p>
    <w:p w14:paraId="7694E22A" w14:textId="77777777" w:rsidR="00614E27" w:rsidRPr="001A0B66" w:rsidRDefault="00614E27" w:rsidP="00F307FB">
      <w:pPr>
        <w:pStyle w:val="a0"/>
        <w:spacing w:line="276" w:lineRule="auto"/>
        <w:rPr>
          <w:rFonts w:ascii="FrankRuehl" w:hAnsi="FrankRuehl" w:cs="FrankRuehl"/>
          <w:sz w:val="28"/>
          <w:szCs w:val="28"/>
          <w:rtl/>
        </w:rPr>
      </w:pPr>
      <w:proofErr w:type="spellStart"/>
      <w:r w:rsidRPr="004B5A16">
        <w:rPr>
          <w:rFonts w:ascii="FrankRuehl" w:hAnsi="FrankRuehl" w:cs="FrankRuehl"/>
          <w:sz w:val="28"/>
          <w:szCs w:val="28"/>
          <w:rtl/>
        </w:rPr>
        <w:lastRenderedPageBreak/>
        <w:t>בנישו</w:t>
      </w:r>
      <w:proofErr w:type="spellEnd"/>
      <w:r w:rsidRPr="004B5A16">
        <w:rPr>
          <w:rFonts w:ascii="FrankRuehl" w:hAnsi="FrankRuehl" w:cs="FrankRuehl"/>
          <w:sz w:val="28"/>
          <w:szCs w:val="28"/>
          <w:rtl/>
        </w:rPr>
        <w:t xml:space="preserve"> </w:t>
      </w:r>
      <w:proofErr w:type="spellStart"/>
      <w:r w:rsidRPr="004B5A16">
        <w:rPr>
          <w:rFonts w:ascii="FrankRuehl" w:hAnsi="FrankRuehl" w:cs="FrankRuehl"/>
          <w:sz w:val="28"/>
          <w:szCs w:val="28"/>
          <w:rtl/>
        </w:rPr>
        <w:t>וויג</w:t>
      </w:r>
      <w:r w:rsidR="004534DD" w:rsidRPr="004B5A16">
        <w:rPr>
          <w:rFonts w:ascii="FrankRuehl" w:hAnsi="FrankRuehl" w:cs="FrankRuehl"/>
          <w:sz w:val="28"/>
          <w:szCs w:val="28"/>
          <w:rtl/>
        </w:rPr>
        <w:t>י</w:t>
      </w:r>
      <w:r w:rsidRPr="004B5A16">
        <w:rPr>
          <w:rFonts w:ascii="FrankRuehl" w:hAnsi="FrankRuehl" w:cs="FrankRuehl"/>
          <w:sz w:val="28"/>
          <w:szCs w:val="28"/>
          <w:rtl/>
        </w:rPr>
        <w:t>סר</w:t>
      </w:r>
      <w:proofErr w:type="spellEnd"/>
      <w:r w:rsidRPr="001A0B66">
        <w:rPr>
          <w:rFonts w:ascii="FrankRuehl" w:hAnsi="FrankRuehl" w:cs="FrankRuehl"/>
          <w:sz w:val="28"/>
          <w:szCs w:val="28"/>
          <w:rtl/>
        </w:rPr>
        <w:t xml:space="preserve"> מציעים כי לתפקיד עורכי הדין המיוחדים ימונו שופטים בדימוס.</w:t>
      </w:r>
      <w:r w:rsidRPr="001A0B66">
        <w:rPr>
          <w:rStyle w:val="FootnoteReference"/>
          <w:rFonts w:ascii="FrankRuehl" w:hAnsi="FrankRuehl" w:cs="FrankRuehl"/>
          <w:sz w:val="28"/>
          <w:szCs w:val="28"/>
          <w:rtl/>
        </w:rPr>
        <w:footnoteReference w:id="107"/>
      </w:r>
      <w:r w:rsidRPr="001A0B66">
        <w:rPr>
          <w:rFonts w:ascii="FrankRuehl" w:hAnsi="FrankRuehl" w:cs="FrankRuehl"/>
          <w:sz w:val="28"/>
          <w:szCs w:val="28"/>
          <w:rtl/>
        </w:rPr>
        <w:t xml:space="preserve"> רעיון זה עלה בעבר גם בפסיקתו של ביהמ"ש העליון.</w:t>
      </w:r>
      <w:r w:rsidRPr="001A0B66">
        <w:rPr>
          <w:rStyle w:val="FootnoteReference"/>
          <w:rFonts w:ascii="FrankRuehl" w:hAnsi="FrankRuehl" w:cs="FrankRuehl"/>
          <w:sz w:val="28"/>
          <w:szCs w:val="28"/>
          <w:rtl/>
        </w:rPr>
        <w:footnoteReference w:id="108"/>
      </w:r>
      <w:r w:rsidRPr="001A0B66">
        <w:rPr>
          <w:rFonts w:ascii="FrankRuehl" w:hAnsi="FrankRuehl" w:cs="FrankRuehl"/>
          <w:sz w:val="28"/>
          <w:szCs w:val="28"/>
          <w:rtl/>
        </w:rPr>
        <w:t xml:space="preserve"> איננו אוהדים הצעה זו אם היא תבקש למצות</w:t>
      </w:r>
      <w:r w:rsidR="004E1CE0" w:rsidRPr="001A0B66">
        <w:rPr>
          <w:rFonts w:ascii="FrankRuehl" w:hAnsi="FrankRuehl" w:cs="FrankRuehl"/>
          <w:sz w:val="28"/>
          <w:szCs w:val="28"/>
          <w:rtl/>
        </w:rPr>
        <w:t xml:space="preserve"> בכך</w:t>
      </w:r>
      <w:r w:rsidRPr="001A0B66">
        <w:rPr>
          <w:rFonts w:ascii="FrankRuehl" w:hAnsi="FrankRuehl" w:cs="FrankRuehl"/>
          <w:sz w:val="28"/>
          <w:szCs w:val="28"/>
          <w:rtl/>
        </w:rPr>
        <w:t xml:space="preserve"> את מאגר המועמדים לתפקיד. הדגשנו לעיל הן את החשיבות הרבה שאנו מוצאים למיהותם המגוונת של עורכי הדין המיוחדים והן את הצורך להגדיל את מספרם. מאגר עורכי הדין של הסנגוריה הציבורית </w:t>
      </w:r>
      <w:r w:rsidR="00856025" w:rsidRPr="001A0B66">
        <w:rPr>
          <w:rFonts w:ascii="FrankRuehl" w:hAnsi="FrankRuehl" w:cs="FrankRuehl"/>
          <w:sz w:val="28"/>
          <w:szCs w:val="28"/>
          <w:rtl/>
        </w:rPr>
        <w:t>ש</w:t>
      </w:r>
      <w:r w:rsidRPr="001A0B66">
        <w:rPr>
          <w:rFonts w:ascii="FrankRuehl" w:hAnsi="FrankRuehl" w:cs="FrankRuehl"/>
          <w:sz w:val="28"/>
          <w:szCs w:val="28"/>
          <w:rtl/>
        </w:rPr>
        <w:t>סיווג</w:t>
      </w:r>
      <w:r w:rsidR="00856025" w:rsidRPr="001A0B66">
        <w:rPr>
          <w:rFonts w:ascii="FrankRuehl" w:hAnsi="FrankRuehl" w:cs="FrankRuehl"/>
          <w:sz w:val="28"/>
          <w:szCs w:val="28"/>
          <w:rtl/>
        </w:rPr>
        <w:t>ם</w:t>
      </w:r>
      <w:r w:rsidRPr="001A0B66">
        <w:rPr>
          <w:rFonts w:ascii="FrankRuehl" w:hAnsi="FrankRuehl" w:cs="FrankRuehl"/>
          <w:sz w:val="28"/>
          <w:szCs w:val="28"/>
          <w:rtl/>
        </w:rPr>
        <w:t xml:space="preserve"> </w:t>
      </w:r>
      <w:r w:rsidR="00856025" w:rsidRPr="001A0B66">
        <w:rPr>
          <w:rFonts w:ascii="FrankRuehl" w:hAnsi="FrankRuehl" w:cs="FrankRuehl"/>
          <w:sz w:val="28"/>
          <w:szCs w:val="28"/>
          <w:rtl/>
        </w:rPr>
        <w:t>ה</w:t>
      </w:r>
      <w:r w:rsidRPr="001A0B66">
        <w:rPr>
          <w:rFonts w:ascii="FrankRuehl" w:hAnsi="FrankRuehl" w:cs="FrankRuehl"/>
          <w:sz w:val="28"/>
          <w:szCs w:val="28"/>
          <w:rtl/>
        </w:rPr>
        <w:t>ביטחוני מתאים, ושאליו יכולים להצטרף עורכי דין נוספים כל העת</w:t>
      </w:r>
      <w:r w:rsidR="00856025" w:rsidRPr="001A0B66">
        <w:rPr>
          <w:rFonts w:ascii="FrankRuehl" w:hAnsi="FrankRuehl" w:cs="FrankRuehl"/>
          <w:sz w:val="28"/>
          <w:szCs w:val="28"/>
          <w:rtl/>
        </w:rPr>
        <w:t xml:space="preserve"> –</w:t>
      </w:r>
      <w:r w:rsidRPr="001A0B66">
        <w:rPr>
          <w:rFonts w:ascii="FrankRuehl" w:hAnsi="FrankRuehl" w:cs="FrankRuehl"/>
          <w:sz w:val="28"/>
          <w:szCs w:val="28"/>
          <w:rtl/>
        </w:rPr>
        <w:t xml:space="preserve"> כפי שהסנגוריה הציבורית עושה ממילא, הוא מאגר העונה לדרישות מקצועיות מוקפדות ו</w:t>
      </w:r>
      <w:r w:rsidR="00856025" w:rsidRPr="001A0B66">
        <w:rPr>
          <w:rFonts w:ascii="FrankRuehl" w:hAnsi="FrankRuehl" w:cs="FrankRuehl"/>
          <w:sz w:val="28"/>
          <w:szCs w:val="28"/>
          <w:rtl/>
        </w:rPr>
        <w:t xml:space="preserve">על כן </w:t>
      </w:r>
      <w:r w:rsidRPr="001A0B66">
        <w:rPr>
          <w:rFonts w:ascii="FrankRuehl" w:hAnsi="FrankRuehl" w:cs="FrankRuehl"/>
          <w:sz w:val="28"/>
          <w:szCs w:val="28"/>
          <w:rtl/>
        </w:rPr>
        <w:t xml:space="preserve">יכול למלא גם מטרה זו. </w:t>
      </w:r>
    </w:p>
    <w:p w14:paraId="48B5501B" w14:textId="77777777" w:rsidR="00532F02" w:rsidRPr="001A0B66" w:rsidRDefault="003F041E"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מודל עורכי הדין המיוחדים מתמודד עם </w:t>
      </w:r>
      <w:r w:rsidR="00532F02" w:rsidRPr="001A0B66">
        <w:rPr>
          <w:rFonts w:ascii="FrankRuehl" w:hAnsi="FrankRuehl" w:cs="FrankRuehl"/>
          <w:sz w:val="28"/>
          <w:szCs w:val="28"/>
          <w:rtl/>
        </w:rPr>
        <w:t xml:space="preserve">קושי נוסף המתעורר בהווה, </w:t>
      </w:r>
      <w:r w:rsidRPr="001A0B66">
        <w:rPr>
          <w:rFonts w:ascii="FrankRuehl" w:hAnsi="FrankRuehl" w:cs="FrankRuehl"/>
          <w:sz w:val="28"/>
          <w:szCs w:val="28"/>
          <w:rtl/>
        </w:rPr>
        <w:t>ו</w:t>
      </w:r>
      <w:r w:rsidR="00532F02" w:rsidRPr="001A0B66">
        <w:rPr>
          <w:rFonts w:ascii="FrankRuehl" w:hAnsi="FrankRuehl" w:cs="FrankRuehl"/>
          <w:sz w:val="28"/>
          <w:szCs w:val="28"/>
          <w:rtl/>
        </w:rPr>
        <w:t>הוא שבדיונים על הפעלת סמכויות שעת חירום ושימוש בראיות חסויות מופיעים "שחקנים חוזרים" –</w:t>
      </w:r>
      <w:r w:rsidR="00856025" w:rsidRPr="001A0B66">
        <w:rPr>
          <w:rFonts w:ascii="FrankRuehl" w:hAnsi="FrankRuehl" w:cs="FrankRuehl"/>
          <w:sz w:val="28"/>
          <w:szCs w:val="28"/>
          <w:rtl/>
        </w:rPr>
        <w:t xml:space="preserve"> </w:t>
      </w:r>
      <w:r w:rsidR="00532F02" w:rsidRPr="001A0B66">
        <w:rPr>
          <w:rFonts w:ascii="FrankRuehl" w:hAnsi="FrankRuehl" w:cs="FrankRuehl"/>
          <w:sz w:val="28"/>
          <w:szCs w:val="28"/>
          <w:rtl/>
        </w:rPr>
        <w:t>השופטים ועורכי הדין מטעם המדינה – ועלולה להיווצר ביניהם דינמיקה של יחסי אמון משוללי אופי אדוורסרי.</w:t>
      </w:r>
      <w:r w:rsidR="00532F02" w:rsidRPr="001A0B66">
        <w:rPr>
          <w:rStyle w:val="FootnoteReference"/>
          <w:rFonts w:ascii="FrankRuehl" w:hAnsi="FrankRuehl" w:cs="FrankRuehl"/>
          <w:sz w:val="28"/>
          <w:szCs w:val="28"/>
          <w:rtl/>
        </w:rPr>
        <w:footnoteReference w:id="109"/>
      </w:r>
      <w:r w:rsidR="00532F02" w:rsidRPr="001A0B66">
        <w:rPr>
          <w:rFonts w:ascii="FrankRuehl" w:hAnsi="FrankRuehl" w:cs="FrankRuehl"/>
          <w:sz w:val="28"/>
          <w:szCs w:val="28"/>
          <w:rtl/>
        </w:rPr>
        <w:t xml:space="preserve"> </w:t>
      </w:r>
      <w:r w:rsidR="00856025" w:rsidRPr="001A0B66">
        <w:rPr>
          <w:rFonts w:ascii="FrankRuehl" w:hAnsi="FrankRuehl" w:cs="FrankRuehl"/>
          <w:sz w:val="28"/>
          <w:szCs w:val="28"/>
          <w:rtl/>
        </w:rPr>
        <w:t xml:space="preserve">מטבע הדברים, </w:t>
      </w:r>
      <w:r w:rsidR="00532F02" w:rsidRPr="001A0B66">
        <w:rPr>
          <w:rFonts w:ascii="FrankRuehl" w:hAnsi="FrankRuehl" w:cs="FrankRuehl"/>
          <w:sz w:val="28"/>
          <w:szCs w:val="28"/>
          <w:rtl/>
        </w:rPr>
        <w:t xml:space="preserve">דינמיקה זו פוגעת ביכולתם של השופטים לקבל החלטות שמנוגדות להמלצת גורמי הביטחון. אחד מנציגי המדינה שהתראיין למחקרה של קרבס תיאר את היחסים </w:t>
      </w:r>
      <w:r w:rsidR="00856025" w:rsidRPr="001A0B66">
        <w:rPr>
          <w:rFonts w:ascii="FrankRuehl" w:hAnsi="FrankRuehl" w:cs="FrankRuehl"/>
          <w:sz w:val="28"/>
          <w:szCs w:val="28"/>
          <w:rtl/>
        </w:rPr>
        <w:t xml:space="preserve">ברגע של גילוי לב </w:t>
      </w:r>
      <w:r w:rsidR="00532F02" w:rsidRPr="001A0B66">
        <w:rPr>
          <w:rFonts w:ascii="FrankRuehl" w:hAnsi="FrankRuehl" w:cs="FrankRuehl"/>
          <w:sz w:val="28"/>
          <w:szCs w:val="28"/>
          <w:rtl/>
        </w:rPr>
        <w:t>כ"דיאלוג סודי" בין המדינה לבית המשפט.</w:t>
      </w:r>
      <w:r w:rsidR="00532F02" w:rsidRPr="001A0B66">
        <w:rPr>
          <w:rStyle w:val="FootnoteReference"/>
          <w:rFonts w:ascii="FrankRuehl" w:hAnsi="FrankRuehl" w:cs="FrankRuehl"/>
          <w:sz w:val="28"/>
          <w:szCs w:val="28"/>
          <w:rtl/>
        </w:rPr>
        <w:footnoteReference w:id="110"/>
      </w:r>
      <w:r w:rsidR="00532F02" w:rsidRPr="001A0B66">
        <w:rPr>
          <w:rFonts w:ascii="FrankRuehl" w:hAnsi="FrankRuehl" w:cs="FrankRuehl"/>
          <w:sz w:val="28"/>
          <w:szCs w:val="28"/>
          <w:rtl/>
        </w:rPr>
        <w:t xml:space="preserve"> </w:t>
      </w:r>
      <w:r w:rsidR="00856025" w:rsidRPr="001A0B66">
        <w:rPr>
          <w:rFonts w:ascii="FrankRuehl" w:hAnsi="FrankRuehl" w:cs="FrankRuehl"/>
          <w:sz w:val="28"/>
          <w:szCs w:val="28"/>
          <w:rtl/>
        </w:rPr>
        <w:t>החלת</w:t>
      </w:r>
      <w:r w:rsidR="00532F02" w:rsidRPr="001A0B66">
        <w:rPr>
          <w:rFonts w:ascii="FrankRuehl" w:hAnsi="FrankRuehl" w:cs="FrankRuehl"/>
          <w:sz w:val="28"/>
          <w:szCs w:val="28"/>
          <w:rtl/>
        </w:rPr>
        <w:t xml:space="preserve"> הסדר עורכי הדין המיוחדים </w:t>
      </w:r>
      <w:r w:rsidR="00856025" w:rsidRPr="001A0B66">
        <w:rPr>
          <w:rFonts w:ascii="FrankRuehl" w:hAnsi="FrankRuehl" w:cs="FrankRuehl"/>
          <w:sz w:val="28"/>
          <w:szCs w:val="28"/>
          <w:rtl/>
        </w:rPr>
        <w:t xml:space="preserve">תערב </w:t>
      </w:r>
      <w:r w:rsidR="00532F02" w:rsidRPr="001A0B66">
        <w:rPr>
          <w:rFonts w:ascii="FrankRuehl" w:hAnsi="FrankRuehl" w:cs="FrankRuehl"/>
          <w:sz w:val="28"/>
          <w:szCs w:val="28"/>
          <w:rtl/>
        </w:rPr>
        <w:t xml:space="preserve">שחקנים חוזרים נוספים, הפעם </w:t>
      </w:r>
      <w:r w:rsidR="00856025" w:rsidRPr="001A0B66">
        <w:rPr>
          <w:rFonts w:ascii="FrankRuehl" w:hAnsi="FrankRuehl" w:cs="FrankRuehl"/>
          <w:sz w:val="28"/>
          <w:szCs w:val="28"/>
          <w:rtl/>
        </w:rPr>
        <w:t xml:space="preserve">מקרב </w:t>
      </w:r>
      <w:r w:rsidRPr="001A0B66">
        <w:rPr>
          <w:rFonts w:ascii="FrankRuehl" w:hAnsi="FrankRuehl" w:cs="FrankRuehl"/>
          <w:sz w:val="28"/>
          <w:szCs w:val="28"/>
          <w:rtl/>
        </w:rPr>
        <w:t xml:space="preserve">המייצגים של </w:t>
      </w:r>
      <w:r w:rsidR="00532F02" w:rsidRPr="001A0B66">
        <w:rPr>
          <w:rFonts w:ascii="FrankRuehl" w:hAnsi="FrankRuehl" w:cs="FrankRuehl"/>
          <w:sz w:val="28"/>
          <w:szCs w:val="28"/>
          <w:rtl/>
        </w:rPr>
        <w:t xml:space="preserve">מי שהמדינה </w:t>
      </w:r>
      <w:r w:rsidR="002026F7" w:rsidRPr="001A0B66">
        <w:rPr>
          <w:rFonts w:ascii="FrankRuehl" w:hAnsi="FrankRuehl" w:cs="FrankRuehl"/>
          <w:sz w:val="28"/>
          <w:szCs w:val="28"/>
          <w:rtl/>
        </w:rPr>
        <w:t xml:space="preserve">הפעילה </w:t>
      </w:r>
      <w:r w:rsidR="00532F02" w:rsidRPr="001A0B66">
        <w:rPr>
          <w:rFonts w:ascii="FrankRuehl" w:hAnsi="FrankRuehl" w:cs="FrankRuehl"/>
          <w:sz w:val="28"/>
          <w:szCs w:val="28"/>
          <w:rtl/>
        </w:rPr>
        <w:t xml:space="preserve">נגדם </w:t>
      </w:r>
      <w:r w:rsidR="002026F7" w:rsidRPr="001A0B66">
        <w:rPr>
          <w:rFonts w:ascii="FrankRuehl" w:hAnsi="FrankRuehl" w:cs="FrankRuehl"/>
          <w:sz w:val="28"/>
          <w:szCs w:val="28"/>
          <w:rtl/>
        </w:rPr>
        <w:t xml:space="preserve">סמכויות </w:t>
      </w:r>
      <w:r w:rsidR="00532F02" w:rsidRPr="001A0B66">
        <w:rPr>
          <w:rFonts w:ascii="FrankRuehl" w:hAnsi="FrankRuehl" w:cs="FrankRuehl"/>
          <w:sz w:val="28"/>
          <w:szCs w:val="28"/>
          <w:rtl/>
        </w:rPr>
        <w:t xml:space="preserve">חירום, ואם הוא ילווה </w:t>
      </w:r>
      <w:r w:rsidR="002026F7" w:rsidRPr="001A0B66">
        <w:rPr>
          <w:rFonts w:ascii="FrankRuehl" w:hAnsi="FrankRuehl" w:cs="FrankRuehl"/>
          <w:sz w:val="28"/>
          <w:szCs w:val="28"/>
          <w:rtl/>
        </w:rPr>
        <w:t>(</w:t>
      </w:r>
      <w:r w:rsidR="0069042F" w:rsidRPr="001A0B66">
        <w:rPr>
          <w:rFonts w:ascii="FrankRuehl" w:hAnsi="FrankRuehl" w:cs="FrankRuehl"/>
          <w:sz w:val="28"/>
          <w:szCs w:val="28"/>
          <w:rtl/>
        </w:rPr>
        <w:t>כמבוקש</w:t>
      </w:r>
      <w:r w:rsidR="002026F7" w:rsidRPr="001A0B66">
        <w:rPr>
          <w:rFonts w:ascii="FrankRuehl" w:hAnsi="FrankRuehl" w:cs="FrankRuehl"/>
          <w:sz w:val="28"/>
          <w:szCs w:val="28"/>
          <w:rtl/>
        </w:rPr>
        <w:t>)</w:t>
      </w:r>
      <w:r w:rsidR="0069042F" w:rsidRPr="001A0B66">
        <w:rPr>
          <w:rFonts w:ascii="FrankRuehl" w:hAnsi="FrankRuehl" w:cs="FrankRuehl"/>
          <w:sz w:val="28"/>
          <w:szCs w:val="28"/>
          <w:rtl/>
        </w:rPr>
        <w:t xml:space="preserve"> </w:t>
      </w:r>
      <w:r w:rsidR="00532F02" w:rsidRPr="001A0B66">
        <w:rPr>
          <w:rFonts w:ascii="FrankRuehl" w:hAnsi="FrankRuehl" w:cs="FrankRuehl"/>
          <w:sz w:val="28"/>
          <w:szCs w:val="28"/>
          <w:rtl/>
        </w:rPr>
        <w:t>בזכות לחקור את חוקרי השב"כ</w:t>
      </w:r>
      <w:r w:rsidR="00856025" w:rsidRPr="001A0B66">
        <w:rPr>
          <w:rFonts w:ascii="FrankRuehl" w:hAnsi="FrankRuehl" w:cs="FrankRuehl"/>
          <w:sz w:val="28"/>
          <w:szCs w:val="28"/>
          <w:rtl/>
        </w:rPr>
        <w:t xml:space="preserve"> –</w:t>
      </w:r>
      <w:r w:rsidR="00532F02" w:rsidRPr="001A0B66">
        <w:rPr>
          <w:rFonts w:ascii="FrankRuehl" w:hAnsi="FrankRuehl" w:cs="FrankRuehl"/>
          <w:sz w:val="28"/>
          <w:szCs w:val="28"/>
          <w:rtl/>
        </w:rPr>
        <w:t xml:space="preserve"> הוא </w:t>
      </w:r>
      <w:r w:rsidR="00856025" w:rsidRPr="001A0B66">
        <w:rPr>
          <w:rFonts w:ascii="FrankRuehl" w:hAnsi="FrankRuehl" w:cs="FrankRuehl"/>
          <w:sz w:val="28"/>
          <w:szCs w:val="28"/>
          <w:rtl/>
        </w:rPr>
        <w:t xml:space="preserve">יקנה להליך המתקיים כאן </w:t>
      </w:r>
      <w:r w:rsidR="00532F02" w:rsidRPr="001A0B66">
        <w:rPr>
          <w:rFonts w:ascii="FrankRuehl" w:hAnsi="FrankRuehl" w:cs="FrankRuehl"/>
          <w:sz w:val="28"/>
          <w:szCs w:val="28"/>
          <w:rtl/>
        </w:rPr>
        <w:t xml:space="preserve">ממד אדוורסרי ממשי. </w:t>
      </w:r>
    </w:p>
    <w:p w14:paraId="6ECEF68B" w14:textId="77777777" w:rsidR="00B157F1" w:rsidRPr="001A0B66" w:rsidRDefault="00F70309" w:rsidP="004B5A16">
      <w:pPr>
        <w:pStyle w:val="a0"/>
        <w:spacing w:line="276" w:lineRule="auto"/>
        <w:rPr>
          <w:rFonts w:ascii="FrankRuehl" w:hAnsi="FrankRuehl" w:cs="FrankRuehl"/>
          <w:sz w:val="28"/>
          <w:szCs w:val="28"/>
          <w:rtl/>
        </w:rPr>
      </w:pPr>
      <w:r w:rsidRPr="001A0B66">
        <w:rPr>
          <w:rFonts w:ascii="FrankRuehl" w:hAnsi="FrankRuehl" w:cs="FrankRuehl"/>
          <w:sz w:val="28"/>
          <w:szCs w:val="28"/>
          <w:rtl/>
        </w:rPr>
        <w:t>מנגד</w:t>
      </w:r>
      <w:r w:rsidR="004534DD" w:rsidRPr="001A0B66">
        <w:rPr>
          <w:rFonts w:ascii="FrankRuehl" w:hAnsi="FrankRuehl" w:cs="FrankRuehl"/>
          <w:sz w:val="28"/>
          <w:szCs w:val="28"/>
          <w:rtl/>
        </w:rPr>
        <w:t xml:space="preserve"> תיתכן</w:t>
      </w:r>
      <w:r w:rsidRPr="001A0B66">
        <w:rPr>
          <w:rFonts w:ascii="FrankRuehl" w:hAnsi="FrankRuehl" w:cs="FrankRuehl"/>
          <w:sz w:val="28"/>
          <w:szCs w:val="28"/>
          <w:rtl/>
        </w:rPr>
        <w:t xml:space="preserve"> טענה </w:t>
      </w:r>
      <w:r w:rsidR="00B157F1" w:rsidRPr="001A0B66">
        <w:rPr>
          <w:rFonts w:ascii="FrankRuehl" w:hAnsi="FrankRuehl" w:cs="FrankRuehl"/>
          <w:sz w:val="28"/>
          <w:szCs w:val="28"/>
          <w:rtl/>
        </w:rPr>
        <w:t xml:space="preserve">כי מתוקף היותם של עורכי הדין המיוחדים שחקנים חוזרים הם עלולים לחשוף בפני העצורים מידע חסוי, </w:t>
      </w:r>
      <w:r w:rsidR="00856025" w:rsidRPr="001A0B66">
        <w:rPr>
          <w:rFonts w:ascii="FrankRuehl" w:hAnsi="FrankRuehl" w:cs="FrankRuehl"/>
          <w:sz w:val="28"/>
          <w:szCs w:val="28"/>
          <w:rtl/>
        </w:rPr>
        <w:t xml:space="preserve">גם אם </w:t>
      </w:r>
      <w:r w:rsidR="00B157F1" w:rsidRPr="001A0B66">
        <w:rPr>
          <w:rFonts w:ascii="FrankRuehl" w:hAnsi="FrankRuehl" w:cs="FrankRuehl"/>
          <w:sz w:val="28"/>
          <w:szCs w:val="28"/>
          <w:rtl/>
        </w:rPr>
        <w:t>לא במתכוון</w:t>
      </w:r>
      <w:r w:rsidR="00856025" w:rsidRPr="001A0B66">
        <w:rPr>
          <w:rFonts w:ascii="FrankRuehl" w:hAnsi="FrankRuehl" w:cs="FrankRuehl"/>
          <w:sz w:val="28"/>
          <w:szCs w:val="28"/>
          <w:rtl/>
        </w:rPr>
        <w:t>; למשל,</w:t>
      </w:r>
      <w:r w:rsidR="00B157F1" w:rsidRPr="001A0B66">
        <w:rPr>
          <w:rFonts w:ascii="FrankRuehl" w:hAnsi="FrankRuehl" w:cs="FrankRuehl"/>
          <w:sz w:val="28"/>
          <w:szCs w:val="28"/>
          <w:rtl/>
        </w:rPr>
        <w:t xml:space="preserve"> </w:t>
      </w:r>
      <w:r w:rsidR="006239C1" w:rsidRPr="001A0B66">
        <w:rPr>
          <w:rFonts w:ascii="FrankRuehl" w:hAnsi="FrankRuehl" w:cs="FrankRuehl"/>
          <w:sz w:val="28"/>
          <w:szCs w:val="28"/>
          <w:rtl/>
        </w:rPr>
        <w:t>הם</w:t>
      </w:r>
      <w:r w:rsidR="00B157F1" w:rsidRPr="001A0B66">
        <w:rPr>
          <w:rFonts w:ascii="FrankRuehl" w:hAnsi="FrankRuehl" w:cs="FrankRuehl"/>
          <w:sz w:val="28"/>
          <w:szCs w:val="28"/>
          <w:rtl/>
        </w:rPr>
        <w:t xml:space="preserve"> עלולים לאגור מידע מודיעיני </w:t>
      </w:r>
      <w:r w:rsidR="00856025" w:rsidRPr="001A0B66">
        <w:rPr>
          <w:rFonts w:ascii="FrankRuehl" w:hAnsi="FrankRuehl" w:cs="FrankRuehl"/>
          <w:sz w:val="28"/>
          <w:szCs w:val="28"/>
          <w:rtl/>
        </w:rPr>
        <w:t xml:space="preserve">על </w:t>
      </w:r>
      <w:r w:rsidR="00B157F1" w:rsidRPr="001A0B66">
        <w:rPr>
          <w:rFonts w:ascii="FrankRuehl" w:hAnsi="FrankRuehl" w:cs="FrankRuehl"/>
          <w:sz w:val="28"/>
          <w:szCs w:val="28"/>
          <w:rtl/>
        </w:rPr>
        <w:t>שיט</w:t>
      </w:r>
      <w:r w:rsidR="00856025" w:rsidRPr="001A0B66">
        <w:rPr>
          <w:rFonts w:ascii="FrankRuehl" w:hAnsi="FrankRuehl" w:cs="FrankRuehl"/>
          <w:sz w:val="28"/>
          <w:szCs w:val="28"/>
          <w:rtl/>
        </w:rPr>
        <w:t>ו</w:t>
      </w:r>
      <w:r w:rsidR="00B157F1" w:rsidRPr="001A0B66">
        <w:rPr>
          <w:rFonts w:ascii="FrankRuehl" w:hAnsi="FrankRuehl" w:cs="FrankRuehl"/>
          <w:sz w:val="28"/>
          <w:szCs w:val="28"/>
          <w:rtl/>
        </w:rPr>
        <w:t xml:space="preserve">ת הפעולה של השב"כ ואף להשתמש במידע זה בתיקים אחרים שינהלו בהמשך </w:t>
      </w:r>
      <w:r w:rsidRPr="001A0B66">
        <w:rPr>
          <w:rFonts w:ascii="FrankRuehl" w:hAnsi="FrankRuehl" w:cs="FrankRuehl"/>
          <w:sz w:val="28"/>
          <w:szCs w:val="28"/>
          <w:rtl/>
        </w:rPr>
        <w:t>פעילותם המקצועית</w:t>
      </w:r>
      <w:r w:rsidR="00B157F1" w:rsidRPr="001A0B66">
        <w:rPr>
          <w:rFonts w:ascii="FrankRuehl" w:hAnsi="FrankRuehl" w:cs="FrankRuehl"/>
          <w:sz w:val="28"/>
          <w:szCs w:val="28"/>
          <w:rtl/>
        </w:rPr>
        <w:t>.</w:t>
      </w:r>
      <w:r w:rsidR="00B157F1" w:rsidRPr="001A0B66">
        <w:rPr>
          <w:rFonts w:ascii="FrankRuehl" w:hAnsi="FrankRuehl" w:cs="FrankRuehl"/>
          <w:sz w:val="28"/>
          <w:szCs w:val="28"/>
          <w:vertAlign w:val="superscript"/>
          <w:rtl/>
        </w:rPr>
        <w:footnoteReference w:id="111"/>
      </w:r>
      <w:r w:rsidR="00B157F1" w:rsidRPr="001A0B66">
        <w:rPr>
          <w:rFonts w:ascii="FrankRuehl" w:hAnsi="FrankRuehl" w:cs="FrankRuehl"/>
          <w:sz w:val="28"/>
          <w:szCs w:val="28"/>
          <w:rtl/>
        </w:rPr>
        <w:t xml:space="preserve"> איננו שותפים לדאגה זו.</w:t>
      </w:r>
      <w:r w:rsidR="004B5A16">
        <w:rPr>
          <w:rFonts w:ascii="FrankRuehl" w:hAnsi="FrankRuehl" w:cs="FrankRuehl"/>
          <w:sz w:val="28"/>
          <w:szCs w:val="28"/>
          <w:rtl/>
        </w:rPr>
        <w:t xml:space="preserve"> ראשית, </w:t>
      </w:r>
      <w:r w:rsidR="004B5A16" w:rsidRPr="004B5A16">
        <w:rPr>
          <w:rFonts w:ascii="FrankRuehl" w:hAnsi="FrankRuehl" w:cs="FrankRuehl"/>
          <w:sz w:val="28"/>
          <w:szCs w:val="28"/>
          <w:rtl/>
        </w:rPr>
        <w:t>ההסדר המוצע בהצעת החוק</w:t>
      </w:r>
      <w:r w:rsidR="0069790B">
        <w:rPr>
          <w:rFonts w:ascii="FrankRuehl" w:hAnsi="FrankRuehl" w:cs="FrankRuehl"/>
          <w:sz w:val="28"/>
          <w:szCs w:val="28"/>
          <w:rtl/>
        </w:rPr>
        <w:t xml:space="preserve"> </w:t>
      </w:r>
      <w:r w:rsidR="004B5A16" w:rsidRPr="004B5A16">
        <w:rPr>
          <w:rFonts w:ascii="FrankRuehl" w:hAnsi="FrankRuehl" w:cs="FrankRuehl"/>
          <w:sz w:val="28"/>
          <w:szCs w:val="28"/>
          <w:rtl/>
        </w:rPr>
        <w:t xml:space="preserve">מונע פגישה בין האדם לעורך הדין לאחר חשיפת הראיות החסויות; לפיכך אפשרות העברת המידע מצומצמת מאוד. אף שאיסור פגישה זו אינו יכול למנוע העברת מידע </w:t>
      </w:r>
      <w:r w:rsidR="0069790B">
        <w:rPr>
          <w:rFonts w:ascii="FrankRuehl" w:hAnsi="FrankRuehl" w:cs="FrankRuehl"/>
          <w:sz w:val="28"/>
          <w:szCs w:val="28"/>
          <w:rtl/>
        </w:rPr>
        <w:t>על</w:t>
      </w:r>
      <w:r w:rsidR="004B5A16" w:rsidRPr="004B5A16">
        <w:rPr>
          <w:rFonts w:ascii="FrankRuehl" w:hAnsi="FrankRuehl" w:cs="FrankRuehl"/>
          <w:sz w:val="28"/>
          <w:szCs w:val="28"/>
          <w:rtl/>
        </w:rPr>
        <w:t xml:space="preserve"> שיטות פעולה כלליות של השב"כ, מענה לכך עשוי להימצא בהכשרה וחידוד נהלים מצד הסנגוריה הציבורית; זאת מאחר והם יכללו התייחסות לסוגיות חשובות כגון איסור העברת מידע קונקרטי. </w:t>
      </w:r>
      <w:r w:rsidR="004B5A16">
        <w:rPr>
          <w:rFonts w:ascii="FrankRuehl" w:hAnsi="FrankRuehl" w:cs="FrankRuehl"/>
          <w:sz w:val="28"/>
          <w:szCs w:val="28"/>
          <w:rtl/>
        </w:rPr>
        <w:t>שנית</w:t>
      </w:r>
      <w:r w:rsidR="00B41C35" w:rsidRPr="001A0B66">
        <w:rPr>
          <w:rFonts w:ascii="FrankRuehl" w:hAnsi="FrankRuehl" w:cs="FrankRuehl"/>
          <w:sz w:val="28"/>
          <w:szCs w:val="28"/>
          <w:rtl/>
        </w:rPr>
        <w:t xml:space="preserve">, רבים מהשופטים והתובעים המופיעים בתיקים אלו הם "שחקנים חוזרים" ומומחיותם נחשבת </w:t>
      </w:r>
      <w:r w:rsidR="00856025" w:rsidRPr="001A0B66">
        <w:rPr>
          <w:rFonts w:ascii="FrankRuehl" w:hAnsi="FrankRuehl" w:cs="FrankRuehl"/>
          <w:sz w:val="28"/>
          <w:szCs w:val="28"/>
          <w:rtl/>
        </w:rPr>
        <w:t>ל</w:t>
      </w:r>
      <w:r w:rsidR="00B41C35" w:rsidRPr="001A0B66">
        <w:rPr>
          <w:rFonts w:ascii="FrankRuehl" w:hAnsi="FrankRuehl" w:cs="FrankRuehl"/>
          <w:sz w:val="28"/>
          <w:szCs w:val="28"/>
          <w:rtl/>
        </w:rPr>
        <w:t>יתרון דווקא</w:t>
      </w:r>
      <w:r w:rsidR="006239C1" w:rsidRPr="001A0B66">
        <w:rPr>
          <w:rFonts w:ascii="FrankRuehl" w:hAnsi="FrankRuehl" w:cs="FrankRuehl"/>
          <w:sz w:val="28"/>
          <w:szCs w:val="28"/>
          <w:rtl/>
        </w:rPr>
        <w:t>, גם בכל הקשור לשמירה על מידע</w:t>
      </w:r>
      <w:r w:rsidR="00D7584F" w:rsidRPr="001A0B66">
        <w:rPr>
          <w:rFonts w:ascii="FrankRuehl" w:hAnsi="FrankRuehl" w:cs="FrankRuehl"/>
          <w:sz w:val="28"/>
          <w:szCs w:val="28"/>
          <w:rtl/>
        </w:rPr>
        <w:t xml:space="preserve">. </w:t>
      </w:r>
      <w:r w:rsidR="001948FE" w:rsidRPr="001A0B66">
        <w:rPr>
          <w:rFonts w:ascii="FrankRuehl" w:hAnsi="FrankRuehl" w:cs="FrankRuehl"/>
          <w:sz w:val="28"/>
          <w:szCs w:val="28"/>
          <w:rtl/>
        </w:rPr>
        <w:t>גם עורכי הדין המיוחדים צפויים לצבור ניסיון – הן לעניין המומחיות</w:t>
      </w:r>
      <w:r w:rsidR="003A066B" w:rsidRPr="001A0B66">
        <w:rPr>
          <w:rFonts w:ascii="FrankRuehl" w:hAnsi="FrankRuehl" w:cs="FrankRuehl"/>
          <w:sz w:val="28"/>
          <w:szCs w:val="28"/>
          <w:rtl/>
        </w:rPr>
        <w:t xml:space="preserve"> בסמכויות חירום ובראיות חסויות</w:t>
      </w:r>
      <w:r w:rsidR="001948FE" w:rsidRPr="001A0B66">
        <w:rPr>
          <w:rFonts w:ascii="FrankRuehl" w:hAnsi="FrankRuehl" w:cs="FrankRuehl"/>
          <w:sz w:val="28"/>
          <w:szCs w:val="28"/>
          <w:rtl/>
        </w:rPr>
        <w:t xml:space="preserve"> והן לגבי המיומנות הגבוהה יותר בשמירה על </w:t>
      </w:r>
      <w:r w:rsidR="004B1692" w:rsidRPr="001A0B66">
        <w:rPr>
          <w:rFonts w:ascii="FrankRuehl" w:hAnsi="FrankRuehl" w:cs="FrankRuehl"/>
          <w:sz w:val="28"/>
          <w:szCs w:val="28"/>
          <w:rtl/>
        </w:rPr>
        <w:t>מידע ביטחוני</w:t>
      </w:r>
      <w:r w:rsidR="00D7584F" w:rsidRPr="001A0B66">
        <w:rPr>
          <w:rFonts w:ascii="FrankRuehl" w:hAnsi="FrankRuehl" w:cs="FrankRuehl"/>
          <w:sz w:val="28"/>
          <w:szCs w:val="28"/>
          <w:rtl/>
        </w:rPr>
        <w:t xml:space="preserve"> חסוי</w:t>
      </w:r>
      <w:r w:rsidR="00B41C35" w:rsidRPr="001A0B66">
        <w:rPr>
          <w:rFonts w:ascii="FrankRuehl" w:hAnsi="FrankRuehl" w:cs="FrankRuehl"/>
          <w:sz w:val="28"/>
          <w:szCs w:val="28"/>
          <w:rtl/>
        </w:rPr>
        <w:t>.</w:t>
      </w:r>
      <w:r w:rsidR="00B41C35" w:rsidRPr="001A0B66">
        <w:rPr>
          <w:rStyle w:val="FootnoteReference"/>
          <w:rFonts w:ascii="FrankRuehl" w:hAnsi="FrankRuehl" w:cs="FrankRuehl"/>
          <w:sz w:val="28"/>
          <w:szCs w:val="28"/>
          <w:rtl/>
        </w:rPr>
        <w:footnoteReference w:id="112"/>
      </w:r>
      <w:r w:rsidR="00B41C35" w:rsidRPr="001A0B66">
        <w:rPr>
          <w:rFonts w:ascii="FrankRuehl" w:hAnsi="FrankRuehl" w:cs="FrankRuehl"/>
          <w:sz w:val="28"/>
          <w:szCs w:val="28"/>
          <w:rtl/>
        </w:rPr>
        <w:t xml:space="preserve"> </w:t>
      </w:r>
      <w:r w:rsidR="00856025" w:rsidRPr="001A0B66">
        <w:rPr>
          <w:rFonts w:ascii="FrankRuehl" w:hAnsi="FrankRuehl" w:cs="FrankRuehl"/>
          <w:sz w:val="28"/>
          <w:szCs w:val="28"/>
          <w:rtl/>
        </w:rPr>
        <w:t xml:space="preserve">אם כן, </w:t>
      </w:r>
      <w:r w:rsidR="006239C1" w:rsidRPr="001A0B66">
        <w:rPr>
          <w:rFonts w:ascii="FrankRuehl" w:hAnsi="FrankRuehl" w:cs="FrankRuehl"/>
          <w:sz w:val="28"/>
          <w:szCs w:val="28"/>
          <w:rtl/>
        </w:rPr>
        <w:t>להשקפתנו</w:t>
      </w:r>
      <w:r w:rsidR="00B41C35" w:rsidRPr="001A0B66">
        <w:rPr>
          <w:rFonts w:ascii="FrankRuehl" w:hAnsi="FrankRuehl" w:cs="FrankRuehl"/>
          <w:sz w:val="28"/>
          <w:szCs w:val="28"/>
          <w:rtl/>
        </w:rPr>
        <w:t xml:space="preserve"> לא רק שאין מדובר בחיסרון, אלא מדובר ביתרון </w:t>
      </w:r>
      <w:r w:rsidR="00D7584F" w:rsidRPr="001A0B66">
        <w:rPr>
          <w:rFonts w:ascii="FrankRuehl" w:hAnsi="FrankRuehl" w:cs="FrankRuehl"/>
          <w:sz w:val="28"/>
          <w:szCs w:val="28"/>
          <w:rtl/>
        </w:rPr>
        <w:t>המ</w:t>
      </w:r>
      <w:r w:rsidR="00B41C35" w:rsidRPr="001A0B66">
        <w:rPr>
          <w:rFonts w:ascii="FrankRuehl" w:hAnsi="FrankRuehl" w:cs="FrankRuehl"/>
          <w:sz w:val="28"/>
          <w:szCs w:val="28"/>
          <w:rtl/>
        </w:rPr>
        <w:t>שפר את איזון הכוחות בין ההגנה, התביעה ובית המשפט.</w:t>
      </w:r>
      <w:r w:rsidR="004B1692" w:rsidRPr="001A0B66">
        <w:rPr>
          <w:rFonts w:ascii="FrankRuehl" w:hAnsi="FrankRuehl" w:cs="FrankRuehl"/>
          <w:sz w:val="28"/>
          <w:szCs w:val="28"/>
          <w:rtl/>
        </w:rPr>
        <w:t xml:space="preserve"> העקרון המוכר כ</w:t>
      </w:r>
      <w:r w:rsidR="00836624" w:rsidRPr="001A0B66">
        <w:rPr>
          <w:rFonts w:ascii="FrankRuehl" w:hAnsi="FrankRuehl" w:cs="FrankRuehl"/>
          <w:sz w:val="28"/>
          <w:szCs w:val="28"/>
          <w:rtl/>
        </w:rPr>
        <w:t>-</w:t>
      </w:r>
      <w:r w:rsidR="00836624" w:rsidRPr="001A0B66">
        <w:rPr>
          <w:rFonts w:ascii="FrankRuehl" w:hAnsi="FrankRuehl" w:cs="FrankRuehl"/>
          <w:sz w:val="28"/>
          <w:szCs w:val="28"/>
        </w:rPr>
        <w:t>"</w:t>
      </w:r>
      <w:r w:rsidR="004B1692" w:rsidRPr="001A0B66">
        <w:rPr>
          <w:rFonts w:ascii="FrankRuehl" w:hAnsi="FrankRuehl" w:cs="FrankRuehl"/>
          <w:sz w:val="28"/>
          <w:szCs w:val="28"/>
        </w:rPr>
        <w:t>equality of arms</w:t>
      </w:r>
      <w:r w:rsidR="00836624" w:rsidRPr="001A0B66">
        <w:rPr>
          <w:rFonts w:ascii="FrankRuehl" w:hAnsi="FrankRuehl" w:cs="FrankRuehl"/>
          <w:sz w:val="28"/>
          <w:szCs w:val="28"/>
        </w:rPr>
        <w:t>"</w:t>
      </w:r>
      <w:r w:rsidR="004B1692" w:rsidRPr="001A0B66">
        <w:rPr>
          <w:rFonts w:ascii="FrankRuehl" w:hAnsi="FrankRuehl" w:cs="FrankRuehl"/>
          <w:sz w:val="28"/>
          <w:szCs w:val="28"/>
          <w:rtl/>
        </w:rPr>
        <w:t xml:space="preserve">, </w:t>
      </w:r>
      <w:r w:rsidR="00856025" w:rsidRPr="001A0B66">
        <w:rPr>
          <w:rFonts w:ascii="FrankRuehl" w:hAnsi="FrankRuehl" w:cs="FrankRuehl"/>
          <w:sz w:val="28"/>
          <w:szCs w:val="28"/>
          <w:rtl/>
        </w:rPr>
        <w:t>ש</w:t>
      </w:r>
      <w:r w:rsidR="004B1692" w:rsidRPr="001A0B66">
        <w:rPr>
          <w:rFonts w:ascii="FrankRuehl" w:hAnsi="FrankRuehl" w:cs="FrankRuehl"/>
          <w:sz w:val="28"/>
          <w:szCs w:val="28"/>
          <w:rtl/>
        </w:rPr>
        <w:t xml:space="preserve">לפיו יש לשאוף לאיזון כוחות </w:t>
      </w:r>
      <w:proofErr w:type="spellStart"/>
      <w:r w:rsidR="004B1692" w:rsidRPr="001A0B66">
        <w:rPr>
          <w:rFonts w:ascii="FrankRuehl" w:hAnsi="FrankRuehl" w:cs="FrankRuehl"/>
          <w:sz w:val="28"/>
          <w:szCs w:val="28"/>
          <w:rtl/>
        </w:rPr>
        <w:t>שיתן</w:t>
      </w:r>
      <w:proofErr w:type="spellEnd"/>
      <w:r w:rsidR="004B1692" w:rsidRPr="001A0B66">
        <w:rPr>
          <w:rFonts w:ascii="FrankRuehl" w:hAnsi="FrankRuehl" w:cs="FrankRuehl"/>
          <w:sz w:val="28"/>
          <w:szCs w:val="28"/>
          <w:rtl/>
        </w:rPr>
        <w:t xml:space="preserve"> להגנה ולתביעה תנאים שווים להציג את עניינם בפני בית המשפט, הוא חלק מהותי מהגדרת הזכות למשפט הוגן.</w:t>
      </w:r>
      <w:r w:rsidR="00D7584F" w:rsidRPr="001A0B66">
        <w:rPr>
          <w:rStyle w:val="FootnoteReference"/>
          <w:rFonts w:ascii="FrankRuehl" w:hAnsi="FrankRuehl" w:cs="FrankRuehl"/>
          <w:sz w:val="28"/>
          <w:szCs w:val="28"/>
          <w:rtl/>
        </w:rPr>
        <w:footnoteReference w:id="113"/>
      </w:r>
      <w:r w:rsidR="004B1692" w:rsidRPr="001A0B66">
        <w:rPr>
          <w:rFonts w:ascii="FrankRuehl" w:hAnsi="FrankRuehl" w:cs="FrankRuehl"/>
          <w:sz w:val="28"/>
          <w:szCs w:val="28"/>
          <w:rtl/>
        </w:rPr>
        <w:t xml:space="preserve"> </w:t>
      </w:r>
      <w:r w:rsidR="00786D2F" w:rsidRPr="001A0B66">
        <w:rPr>
          <w:rFonts w:ascii="FrankRuehl" w:hAnsi="FrankRuehl" w:cs="FrankRuehl"/>
          <w:sz w:val="28"/>
          <w:szCs w:val="28"/>
          <w:rtl/>
        </w:rPr>
        <w:t xml:space="preserve">הכנסתם של שחקנים חוזרים מסוג נוסף, והפעם מצידו של העצור, יכולה </w:t>
      </w:r>
      <w:r w:rsidR="0069042F" w:rsidRPr="001A0B66">
        <w:rPr>
          <w:rFonts w:ascii="FrankRuehl" w:hAnsi="FrankRuehl" w:cs="FrankRuehl"/>
          <w:sz w:val="28"/>
          <w:szCs w:val="28"/>
          <w:rtl/>
        </w:rPr>
        <w:t xml:space="preserve">לפיכך </w:t>
      </w:r>
      <w:r w:rsidR="00786D2F" w:rsidRPr="001A0B66">
        <w:rPr>
          <w:rFonts w:ascii="FrankRuehl" w:hAnsi="FrankRuehl" w:cs="FrankRuehl"/>
          <w:sz w:val="28"/>
          <w:szCs w:val="28"/>
          <w:rtl/>
        </w:rPr>
        <w:t xml:space="preserve">לתרום במידה ניכרת למאזן כוחות ראוי יותר בין ההגנה </w:t>
      </w:r>
      <w:r w:rsidR="0030325F" w:rsidRPr="001A0B66">
        <w:rPr>
          <w:rFonts w:ascii="FrankRuehl" w:hAnsi="FrankRuehl" w:cs="FrankRuehl"/>
          <w:sz w:val="28"/>
          <w:szCs w:val="28"/>
          <w:rtl/>
        </w:rPr>
        <w:t>ל</w:t>
      </w:r>
      <w:r w:rsidR="00786D2F" w:rsidRPr="001A0B66">
        <w:rPr>
          <w:rFonts w:ascii="FrankRuehl" w:hAnsi="FrankRuehl" w:cs="FrankRuehl"/>
          <w:sz w:val="28"/>
          <w:szCs w:val="28"/>
          <w:rtl/>
        </w:rPr>
        <w:t>תביעה.</w:t>
      </w:r>
      <w:r w:rsidR="005B5678" w:rsidRPr="001A0B66">
        <w:rPr>
          <w:rFonts w:ascii="FrankRuehl" w:hAnsi="FrankRuehl" w:cs="FrankRuehl"/>
          <w:sz w:val="28"/>
          <w:szCs w:val="28"/>
          <w:rtl/>
        </w:rPr>
        <w:t xml:space="preserve"> </w:t>
      </w:r>
    </w:p>
    <w:p w14:paraId="14D5316D" w14:textId="77777777" w:rsidR="00226406" w:rsidRPr="001A0B66" w:rsidRDefault="00B31E89" w:rsidP="00F307FB">
      <w:pPr>
        <w:pStyle w:val="Heading3"/>
        <w:spacing w:line="276" w:lineRule="auto"/>
        <w:rPr>
          <w:rFonts w:ascii="FrankRuehl" w:hAnsi="FrankRuehl" w:cs="FrankRuehl"/>
          <w:sz w:val="28"/>
          <w:szCs w:val="28"/>
          <w:rtl/>
        </w:rPr>
      </w:pPr>
      <w:bookmarkStart w:id="87" w:name="_Toc52981444"/>
      <w:bookmarkStart w:id="88" w:name="_Toc52984566"/>
      <w:bookmarkStart w:id="89" w:name="_Toc53124432"/>
      <w:bookmarkStart w:id="90" w:name="_Toc53143383"/>
      <w:r w:rsidRPr="001A0B66">
        <w:rPr>
          <w:rFonts w:ascii="FrankRuehl" w:hAnsi="FrankRuehl" w:cs="FrankRuehl"/>
          <w:sz w:val="28"/>
          <w:szCs w:val="28"/>
          <w:rtl/>
        </w:rPr>
        <w:lastRenderedPageBreak/>
        <w:t>ה</w:t>
      </w:r>
      <w:r w:rsidR="00226406" w:rsidRPr="001A0B66">
        <w:rPr>
          <w:rFonts w:ascii="FrankRuehl" w:hAnsi="FrankRuehl" w:cs="FrankRuehl"/>
          <w:sz w:val="28"/>
          <w:szCs w:val="28"/>
          <w:rtl/>
        </w:rPr>
        <w:t>רחבת תחולת הסדר עור</w:t>
      </w:r>
      <w:r w:rsidR="00DB690A" w:rsidRPr="001A0B66">
        <w:rPr>
          <w:rFonts w:ascii="FrankRuehl" w:hAnsi="FrankRuehl" w:cs="FrankRuehl"/>
          <w:sz w:val="28"/>
          <w:szCs w:val="28"/>
          <w:rtl/>
        </w:rPr>
        <w:t>כי</w:t>
      </w:r>
      <w:r w:rsidR="00226406" w:rsidRPr="001A0B66">
        <w:rPr>
          <w:rFonts w:ascii="FrankRuehl" w:hAnsi="FrankRuehl" w:cs="FrankRuehl"/>
          <w:sz w:val="28"/>
          <w:szCs w:val="28"/>
          <w:rtl/>
        </w:rPr>
        <w:t xml:space="preserve"> </w:t>
      </w:r>
      <w:r w:rsidR="0030325F" w:rsidRPr="001A0B66">
        <w:rPr>
          <w:rFonts w:ascii="FrankRuehl" w:hAnsi="FrankRuehl" w:cs="FrankRuehl"/>
          <w:sz w:val="28"/>
          <w:szCs w:val="28"/>
          <w:rtl/>
        </w:rPr>
        <w:t>ה</w:t>
      </w:r>
      <w:r w:rsidR="00226406" w:rsidRPr="001A0B66">
        <w:rPr>
          <w:rFonts w:ascii="FrankRuehl" w:hAnsi="FrankRuehl" w:cs="FrankRuehl"/>
          <w:sz w:val="28"/>
          <w:szCs w:val="28"/>
          <w:rtl/>
        </w:rPr>
        <w:t xml:space="preserve">דין </w:t>
      </w:r>
      <w:r w:rsidR="0030325F" w:rsidRPr="001A0B66">
        <w:rPr>
          <w:rFonts w:ascii="FrankRuehl" w:hAnsi="FrankRuehl" w:cs="FrankRuehl"/>
          <w:sz w:val="28"/>
          <w:szCs w:val="28"/>
          <w:rtl/>
        </w:rPr>
        <w:t>ה</w:t>
      </w:r>
      <w:r w:rsidR="00226406" w:rsidRPr="001A0B66">
        <w:rPr>
          <w:rFonts w:ascii="FrankRuehl" w:hAnsi="FrankRuehl" w:cs="FrankRuehl"/>
          <w:sz w:val="28"/>
          <w:szCs w:val="28"/>
          <w:rtl/>
        </w:rPr>
        <w:t>מיוחד</w:t>
      </w:r>
      <w:r w:rsidR="00DB690A" w:rsidRPr="001A0B66">
        <w:rPr>
          <w:rFonts w:ascii="FrankRuehl" w:hAnsi="FrankRuehl" w:cs="FrankRuehl"/>
          <w:sz w:val="28"/>
          <w:szCs w:val="28"/>
          <w:rtl/>
        </w:rPr>
        <w:t>ים</w:t>
      </w:r>
      <w:bookmarkEnd w:id="87"/>
      <w:bookmarkEnd w:id="88"/>
      <w:bookmarkEnd w:id="89"/>
      <w:bookmarkEnd w:id="90"/>
    </w:p>
    <w:p w14:paraId="51D5F10C" w14:textId="77777777" w:rsidR="00226406" w:rsidRPr="001A0B66" w:rsidRDefault="00226406" w:rsidP="00F307FB">
      <w:pPr>
        <w:pStyle w:val="Heading4"/>
        <w:spacing w:line="276" w:lineRule="auto"/>
        <w:rPr>
          <w:rFonts w:ascii="FrankRuehl" w:hAnsi="FrankRuehl" w:cs="FrankRuehl"/>
          <w:sz w:val="28"/>
          <w:szCs w:val="28"/>
          <w:rtl/>
        </w:rPr>
      </w:pPr>
      <w:bookmarkStart w:id="91" w:name="_Toc52984567"/>
      <w:bookmarkStart w:id="92" w:name="_Toc53124433"/>
      <w:bookmarkStart w:id="93" w:name="_Toc53143384"/>
      <w:r w:rsidRPr="001A0B66">
        <w:rPr>
          <w:rFonts w:ascii="FrankRuehl" w:hAnsi="FrankRuehl" w:cs="FrankRuehl"/>
          <w:sz w:val="28"/>
          <w:szCs w:val="28"/>
          <w:rtl/>
        </w:rPr>
        <w:t>החלת ההסדר על פלסטינים בשטחים</w:t>
      </w:r>
      <w:bookmarkEnd w:id="91"/>
      <w:bookmarkEnd w:id="92"/>
      <w:bookmarkEnd w:id="93"/>
    </w:p>
    <w:p w14:paraId="178D3A05" w14:textId="77777777" w:rsidR="001173F5" w:rsidRPr="001A0B66" w:rsidRDefault="000D2217"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אם הצעת החוק ת</w:t>
      </w:r>
      <w:r w:rsidR="0021161B" w:rsidRPr="001A0B66">
        <w:rPr>
          <w:rFonts w:ascii="FrankRuehl" w:hAnsi="FrankRuehl" w:cs="FrankRuehl"/>
          <w:sz w:val="28"/>
          <w:szCs w:val="28"/>
          <w:rtl/>
        </w:rPr>
        <w:t>הפוך לחוק</w:t>
      </w:r>
      <w:r w:rsidRPr="001A0B66">
        <w:rPr>
          <w:rFonts w:ascii="FrankRuehl" w:hAnsi="FrankRuehl" w:cs="FrankRuehl"/>
          <w:sz w:val="28"/>
          <w:szCs w:val="28"/>
          <w:rtl/>
        </w:rPr>
        <w:t xml:space="preserve">, </w:t>
      </w:r>
      <w:r w:rsidR="00486EA5" w:rsidRPr="001A0B66">
        <w:rPr>
          <w:rFonts w:ascii="FrankRuehl" w:hAnsi="FrankRuehl" w:cs="FrankRuehl"/>
          <w:sz w:val="28"/>
          <w:szCs w:val="28"/>
          <w:rtl/>
        </w:rPr>
        <w:t xml:space="preserve">הוא </w:t>
      </w:r>
      <w:r w:rsidRPr="001A0B66">
        <w:rPr>
          <w:rFonts w:ascii="FrankRuehl" w:hAnsi="FrankRuehl" w:cs="FrankRuehl"/>
          <w:sz w:val="28"/>
          <w:szCs w:val="28"/>
          <w:rtl/>
        </w:rPr>
        <w:t xml:space="preserve">יחול על </w:t>
      </w:r>
      <w:r w:rsidR="00486EA5" w:rsidRPr="001A0B66">
        <w:rPr>
          <w:rFonts w:ascii="FrankRuehl" w:hAnsi="FrankRuehl" w:cs="FrankRuehl"/>
          <w:sz w:val="28"/>
          <w:szCs w:val="28"/>
          <w:rtl/>
        </w:rPr>
        <w:t xml:space="preserve">כמה </w:t>
      </w:r>
      <w:r w:rsidRPr="001A0B66">
        <w:rPr>
          <w:rFonts w:ascii="FrankRuehl" w:hAnsi="FrankRuehl" w:cs="FrankRuehl"/>
          <w:sz w:val="28"/>
          <w:szCs w:val="28"/>
          <w:rtl/>
        </w:rPr>
        <w:t>הליכים חסויים</w:t>
      </w:r>
      <w:r w:rsidR="001173F5" w:rsidRPr="001A0B66">
        <w:rPr>
          <w:rFonts w:ascii="FrankRuehl" w:hAnsi="FrankRuehl" w:cs="FrankRuehl"/>
          <w:sz w:val="28"/>
          <w:szCs w:val="28"/>
          <w:rtl/>
        </w:rPr>
        <w:t>:</w:t>
      </w:r>
      <w:r w:rsidRPr="001A0B66">
        <w:rPr>
          <w:rFonts w:ascii="FrankRuehl" w:hAnsi="FrankRuehl" w:cs="FrankRuehl"/>
          <w:sz w:val="28"/>
          <w:szCs w:val="28"/>
          <w:rtl/>
        </w:rPr>
        <w:t xml:space="preserve"> עור</w:t>
      </w:r>
      <w:r w:rsidR="0044009B" w:rsidRPr="001A0B66">
        <w:rPr>
          <w:rFonts w:ascii="FrankRuehl" w:hAnsi="FrankRuehl" w:cs="FrankRuehl"/>
          <w:sz w:val="28"/>
          <w:szCs w:val="28"/>
          <w:rtl/>
        </w:rPr>
        <w:t>כת</w:t>
      </w:r>
      <w:r w:rsidR="00844EAA" w:rsidRPr="001A0B66">
        <w:rPr>
          <w:rFonts w:ascii="FrankRuehl" w:hAnsi="FrankRuehl" w:cs="FrankRuehl"/>
          <w:sz w:val="28"/>
          <w:szCs w:val="28"/>
          <w:rtl/>
        </w:rPr>
        <w:t xml:space="preserve"> </w:t>
      </w:r>
      <w:r w:rsidRPr="001A0B66">
        <w:rPr>
          <w:rFonts w:ascii="FrankRuehl" w:hAnsi="FrankRuehl" w:cs="FrankRuehl"/>
          <w:sz w:val="28"/>
          <w:szCs w:val="28"/>
          <w:rtl/>
        </w:rPr>
        <w:t>דין מיוחד</w:t>
      </w:r>
      <w:r w:rsidR="0044009B" w:rsidRPr="001A0B66">
        <w:rPr>
          <w:rFonts w:ascii="FrankRuehl" w:hAnsi="FrankRuehl" w:cs="FrankRuehl"/>
          <w:sz w:val="28"/>
          <w:szCs w:val="28"/>
          <w:rtl/>
        </w:rPr>
        <w:t>ת</w:t>
      </w:r>
      <w:r w:rsidRPr="001A0B66">
        <w:rPr>
          <w:rFonts w:ascii="FrankRuehl" w:hAnsi="FrankRuehl" w:cs="FrankRuehl"/>
          <w:sz w:val="28"/>
          <w:szCs w:val="28"/>
          <w:rtl/>
        </w:rPr>
        <w:t xml:space="preserve"> </w:t>
      </w:r>
      <w:r w:rsidR="0044009B" w:rsidRPr="001A0B66">
        <w:rPr>
          <w:rFonts w:ascii="FrankRuehl" w:hAnsi="FrankRuehl" w:cs="FrankRuehl"/>
          <w:sz w:val="28"/>
          <w:szCs w:val="28"/>
          <w:rtl/>
        </w:rPr>
        <w:t>ת</w:t>
      </w:r>
      <w:r w:rsidRPr="001A0B66">
        <w:rPr>
          <w:rFonts w:ascii="FrankRuehl" w:hAnsi="FrankRuehl" w:cs="FrankRuehl"/>
          <w:sz w:val="28"/>
          <w:szCs w:val="28"/>
          <w:rtl/>
        </w:rPr>
        <w:t xml:space="preserve">תמנה בין היתר בהליכים התוקפים </w:t>
      </w:r>
      <w:r w:rsidR="00486EA5" w:rsidRPr="001A0B66">
        <w:rPr>
          <w:rFonts w:ascii="FrankRuehl" w:hAnsi="FrankRuehl" w:cs="FrankRuehl"/>
          <w:sz w:val="28"/>
          <w:szCs w:val="28"/>
          <w:rtl/>
        </w:rPr>
        <w:t xml:space="preserve">את </w:t>
      </w:r>
      <w:r w:rsidRPr="001A0B66">
        <w:rPr>
          <w:rFonts w:ascii="FrankRuehl" w:hAnsi="FrankRuehl" w:cs="FrankRuehl"/>
          <w:sz w:val="28"/>
          <w:szCs w:val="28"/>
          <w:rtl/>
        </w:rPr>
        <w:t>הפעלת</w:t>
      </w:r>
      <w:r w:rsidR="00486EA5" w:rsidRPr="001A0B66">
        <w:rPr>
          <w:rFonts w:ascii="FrankRuehl" w:hAnsi="FrankRuehl" w:cs="FrankRuehl"/>
          <w:sz w:val="28"/>
          <w:szCs w:val="28"/>
          <w:rtl/>
        </w:rPr>
        <w:t>ם של</w:t>
      </w:r>
      <w:r w:rsidRPr="001A0B66">
        <w:rPr>
          <w:rFonts w:ascii="FrankRuehl" w:hAnsi="FrankRuehl" w:cs="FrankRuehl"/>
          <w:sz w:val="28"/>
          <w:szCs w:val="28"/>
          <w:rtl/>
        </w:rPr>
        <w:t xml:space="preserve"> צו צמצום וצו השגחת משטרה,</w:t>
      </w:r>
      <w:r w:rsidRPr="001A0B66">
        <w:rPr>
          <w:rStyle w:val="FootnoteReference"/>
          <w:rFonts w:ascii="FrankRuehl" w:hAnsi="FrankRuehl" w:cs="FrankRuehl"/>
          <w:sz w:val="28"/>
          <w:szCs w:val="28"/>
          <w:rtl/>
        </w:rPr>
        <w:footnoteReference w:id="114"/>
      </w:r>
      <w:r w:rsidRPr="001A0B66">
        <w:rPr>
          <w:rFonts w:ascii="FrankRuehl" w:hAnsi="FrankRuehl" w:cs="FrankRuehl"/>
          <w:sz w:val="28"/>
          <w:szCs w:val="28"/>
          <w:rtl/>
        </w:rPr>
        <w:t xml:space="preserve"> בערעור על דחיית פגישת חשוד בעבירות בטחון עם עורך דינו</w:t>
      </w:r>
      <w:r w:rsidRPr="001A0B66">
        <w:rPr>
          <w:rStyle w:val="FootnoteReference"/>
          <w:rFonts w:ascii="FrankRuehl" w:hAnsi="FrankRuehl" w:cs="FrankRuehl"/>
          <w:sz w:val="28"/>
          <w:szCs w:val="28"/>
          <w:rtl/>
        </w:rPr>
        <w:footnoteReference w:id="115"/>
      </w:r>
      <w:r w:rsidRPr="001A0B66">
        <w:rPr>
          <w:rFonts w:ascii="FrankRuehl" w:hAnsi="FrankRuehl" w:cs="FrankRuehl"/>
          <w:sz w:val="28"/>
          <w:szCs w:val="28"/>
          <w:rtl/>
        </w:rPr>
        <w:t xml:space="preserve"> </w:t>
      </w:r>
      <w:r w:rsidR="00D93874" w:rsidRPr="001A0B66">
        <w:rPr>
          <w:rFonts w:ascii="FrankRuehl" w:hAnsi="FrankRuehl" w:cs="FrankRuehl"/>
          <w:sz w:val="28"/>
          <w:szCs w:val="28"/>
          <w:rtl/>
        </w:rPr>
        <w:t xml:space="preserve">ובעיקר </w:t>
      </w:r>
      <w:r w:rsidRPr="001A0B66">
        <w:rPr>
          <w:rFonts w:ascii="FrankRuehl" w:hAnsi="FrankRuehl" w:cs="FrankRuehl"/>
          <w:sz w:val="28"/>
          <w:szCs w:val="28"/>
          <w:rtl/>
        </w:rPr>
        <w:t xml:space="preserve">בביקורת שיפוטית על הוצאת צו מעצר </w:t>
      </w:r>
      <w:r w:rsidR="002366D2" w:rsidRPr="001A0B66">
        <w:rPr>
          <w:rFonts w:ascii="FrankRuehl" w:hAnsi="FrankRuehl" w:cs="FrankRuehl"/>
          <w:sz w:val="28"/>
          <w:szCs w:val="28"/>
          <w:rtl/>
        </w:rPr>
        <w:t>מ</w:t>
      </w:r>
      <w:r w:rsidRPr="001A0B66">
        <w:rPr>
          <w:rFonts w:ascii="FrankRuehl" w:hAnsi="FrankRuehl" w:cs="FrankRuehl"/>
          <w:sz w:val="28"/>
          <w:szCs w:val="28"/>
          <w:rtl/>
        </w:rPr>
        <w:t>נהלי ובהארכת מעצר מנהלי.</w:t>
      </w:r>
      <w:r w:rsidRPr="001A0B66">
        <w:rPr>
          <w:rStyle w:val="FootnoteReference"/>
          <w:rFonts w:ascii="FrankRuehl" w:hAnsi="FrankRuehl" w:cs="FrankRuehl"/>
          <w:sz w:val="28"/>
          <w:szCs w:val="28"/>
          <w:rtl/>
        </w:rPr>
        <w:footnoteReference w:id="116"/>
      </w:r>
      <w:r w:rsidRPr="001A0B66">
        <w:rPr>
          <w:rFonts w:ascii="FrankRuehl" w:hAnsi="FrankRuehl" w:cs="FrankRuehl"/>
          <w:sz w:val="28"/>
          <w:szCs w:val="28"/>
          <w:rtl/>
        </w:rPr>
        <w:t xml:space="preserve"> </w:t>
      </w:r>
    </w:p>
    <w:p w14:paraId="1FF7916F" w14:textId="77777777" w:rsidR="003A066B" w:rsidRPr="001A0B66" w:rsidRDefault="000D2217"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החוק הישראלי</w:t>
      </w:r>
      <w:r w:rsidR="002C1B32" w:rsidRPr="001A0B66">
        <w:rPr>
          <w:rFonts w:ascii="FrankRuehl" w:hAnsi="FrankRuehl" w:cs="FrankRuehl"/>
          <w:sz w:val="28"/>
          <w:szCs w:val="28"/>
          <w:rtl/>
        </w:rPr>
        <w:t xml:space="preserve">, ובכללו החוק המוצע, </w:t>
      </w:r>
      <w:r w:rsidRPr="001A0B66">
        <w:rPr>
          <w:rFonts w:ascii="FrankRuehl" w:hAnsi="FrankRuehl" w:cs="FrankRuehl"/>
          <w:sz w:val="28"/>
          <w:szCs w:val="28"/>
          <w:rtl/>
        </w:rPr>
        <w:t xml:space="preserve">מוחל על כל אדם </w:t>
      </w:r>
      <w:r w:rsidR="002366D2" w:rsidRPr="001A0B66">
        <w:rPr>
          <w:rFonts w:ascii="FrankRuehl" w:hAnsi="FrankRuehl" w:cs="FrankRuehl"/>
          <w:sz w:val="28"/>
          <w:szCs w:val="28"/>
          <w:rtl/>
        </w:rPr>
        <w:t>ה</w:t>
      </w:r>
      <w:r w:rsidRPr="001A0B66">
        <w:rPr>
          <w:rFonts w:ascii="FrankRuehl" w:hAnsi="FrankRuehl" w:cs="FrankRuehl"/>
          <w:sz w:val="28"/>
          <w:szCs w:val="28"/>
          <w:rtl/>
        </w:rPr>
        <w:t xml:space="preserve">נמצא </w:t>
      </w:r>
      <w:r w:rsidR="002C1B32" w:rsidRPr="001A0B66">
        <w:rPr>
          <w:rFonts w:ascii="FrankRuehl" w:hAnsi="FrankRuehl" w:cs="FrankRuehl"/>
          <w:sz w:val="28"/>
          <w:szCs w:val="28"/>
          <w:rtl/>
        </w:rPr>
        <w:t>בשטח</w:t>
      </w:r>
      <w:r w:rsidR="00116550" w:rsidRPr="001A0B66">
        <w:rPr>
          <w:rFonts w:ascii="FrankRuehl" w:hAnsi="FrankRuehl" w:cs="FrankRuehl"/>
          <w:sz w:val="28"/>
          <w:szCs w:val="28"/>
          <w:rtl/>
        </w:rPr>
        <w:t>ה</w:t>
      </w:r>
      <w:r w:rsidR="002C1B32" w:rsidRPr="001A0B66">
        <w:rPr>
          <w:rFonts w:ascii="FrankRuehl" w:hAnsi="FrankRuehl" w:cs="FrankRuehl"/>
          <w:sz w:val="28"/>
          <w:szCs w:val="28"/>
          <w:rtl/>
        </w:rPr>
        <w:t xml:space="preserve"> של מדינת ישראל</w:t>
      </w:r>
      <w:r w:rsidR="00A0287D" w:rsidRPr="001A0B66">
        <w:rPr>
          <w:rFonts w:ascii="FrankRuehl" w:hAnsi="FrankRuehl" w:cs="FrankRuehl"/>
          <w:sz w:val="28"/>
          <w:szCs w:val="28"/>
          <w:rtl/>
        </w:rPr>
        <w:t xml:space="preserve"> כפי שהוא מזוהה במשפטה</w:t>
      </w:r>
      <w:r w:rsidRPr="001A0B66">
        <w:rPr>
          <w:rFonts w:ascii="FrankRuehl" w:hAnsi="FrankRuehl" w:cs="FrankRuehl"/>
          <w:sz w:val="28"/>
          <w:szCs w:val="28"/>
          <w:rtl/>
        </w:rPr>
        <w:t xml:space="preserve">. אזרחים ישראלים המתגוררים </w:t>
      </w:r>
      <w:r w:rsidR="002F63FC" w:rsidRPr="001A0B66">
        <w:rPr>
          <w:rFonts w:ascii="FrankRuehl" w:hAnsi="FrankRuehl" w:cs="FrankRuehl"/>
          <w:sz w:val="28"/>
          <w:szCs w:val="28"/>
          <w:rtl/>
        </w:rPr>
        <w:t>בגדה המערבית</w:t>
      </w:r>
      <w:r w:rsidRPr="001A0B66">
        <w:rPr>
          <w:rFonts w:ascii="FrankRuehl" w:hAnsi="FrankRuehl" w:cs="FrankRuehl"/>
          <w:sz w:val="28"/>
          <w:szCs w:val="28"/>
          <w:rtl/>
        </w:rPr>
        <w:t xml:space="preserve"> כפופים </w:t>
      </w:r>
      <w:r w:rsidR="00705EAD" w:rsidRPr="001A0B66">
        <w:rPr>
          <w:rFonts w:ascii="FrankRuehl" w:hAnsi="FrankRuehl" w:cs="FrankRuehl"/>
          <w:sz w:val="28"/>
          <w:szCs w:val="28"/>
          <w:rtl/>
        </w:rPr>
        <w:t>בד בבד</w:t>
      </w:r>
      <w:r w:rsidR="00934B58" w:rsidRPr="001A0B66">
        <w:rPr>
          <w:rFonts w:ascii="FrankRuehl" w:hAnsi="FrankRuehl" w:cs="FrankRuehl"/>
          <w:sz w:val="28"/>
          <w:szCs w:val="28"/>
          <w:rtl/>
        </w:rPr>
        <w:t xml:space="preserve"> </w:t>
      </w:r>
      <w:r w:rsidR="00705EAD" w:rsidRPr="001A0B66">
        <w:rPr>
          <w:rFonts w:ascii="FrankRuehl" w:hAnsi="FrankRuehl" w:cs="FrankRuehl"/>
          <w:sz w:val="28"/>
          <w:szCs w:val="28"/>
          <w:rtl/>
        </w:rPr>
        <w:t>ל</w:t>
      </w:r>
      <w:r w:rsidR="00934B58" w:rsidRPr="001A0B66">
        <w:rPr>
          <w:rFonts w:ascii="FrankRuehl" w:hAnsi="FrankRuehl" w:cs="FrankRuehl"/>
          <w:sz w:val="28"/>
          <w:szCs w:val="28"/>
          <w:rtl/>
        </w:rPr>
        <w:t xml:space="preserve">חקיקה הצבאית בגדה המערבית </w:t>
      </w:r>
      <w:r w:rsidR="001948FE" w:rsidRPr="001A0B66">
        <w:rPr>
          <w:rFonts w:ascii="FrankRuehl" w:hAnsi="FrankRuehl" w:cs="FrankRuehl"/>
          <w:sz w:val="28"/>
          <w:szCs w:val="28"/>
          <w:rtl/>
        </w:rPr>
        <w:t>ולחלקים נרחבים מהדין הישראלי באמצעות החלה פרסונלית וחוץ-טריטוריאלית</w:t>
      </w:r>
      <w:r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117"/>
      </w:r>
      <w:r w:rsidRPr="001A0B66">
        <w:rPr>
          <w:rFonts w:ascii="FrankRuehl" w:hAnsi="FrankRuehl" w:cs="FrankRuehl"/>
          <w:sz w:val="28"/>
          <w:szCs w:val="28"/>
          <w:rtl/>
        </w:rPr>
        <w:t xml:space="preserve"> </w:t>
      </w:r>
      <w:r w:rsidR="007F6A35" w:rsidRPr="001A0B66">
        <w:rPr>
          <w:rFonts w:ascii="FrankRuehl" w:hAnsi="FrankRuehl" w:cs="FrankRuehl"/>
          <w:b/>
          <w:bCs/>
          <w:sz w:val="28"/>
          <w:szCs w:val="28"/>
          <w:rtl/>
        </w:rPr>
        <w:t>ואולם</w:t>
      </w:r>
      <w:r w:rsidRPr="001A0B66">
        <w:rPr>
          <w:rFonts w:ascii="FrankRuehl" w:hAnsi="FrankRuehl" w:cs="FrankRuehl"/>
          <w:b/>
          <w:bCs/>
          <w:sz w:val="28"/>
          <w:szCs w:val="28"/>
          <w:rtl/>
        </w:rPr>
        <w:t xml:space="preserve"> חלק הארי </w:t>
      </w:r>
      <w:r w:rsidR="00D54F6D" w:rsidRPr="001A0B66">
        <w:rPr>
          <w:rFonts w:ascii="FrankRuehl" w:hAnsi="FrankRuehl" w:cs="FrankRuehl"/>
          <w:b/>
          <w:bCs/>
          <w:sz w:val="28"/>
          <w:szCs w:val="28"/>
          <w:rtl/>
        </w:rPr>
        <w:t>מהמעצרים</w:t>
      </w:r>
      <w:r w:rsidRPr="001A0B66">
        <w:rPr>
          <w:rFonts w:ascii="FrankRuehl" w:hAnsi="FrankRuehl" w:cs="FrankRuehl"/>
          <w:b/>
          <w:bCs/>
          <w:sz w:val="28"/>
          <w:szCs w:val="28"/>
          <w:rtl/>
        </w:rPr>
        <w:t xml:space="preserve"> שמדינת ישראל מ</w:t>
      </w:r>
      <w:r w:rsidR="00D54F6D" w:rsidRPr="001A0B66">
        <w:rPr>
          <w:rFonts w:ascii="FrankRuehl" w:hAnsi="FrankRuehl" w:cs="FrankRuehl"/>
          <w:b/>
          <w:bCs/>
          <w:sz w:val="28"/>
          <w:szCs w:val="28"/>
          <w:rtl/>
        </w:rPr>
        <w:t>בצעת</w:t>
      </w:r>
      <w:r w:rsidRPr="001A0B66">
        <w:rPr>
          <w:rFonts w:ascii="FrankRuehl" w:hAnsi="FrankRuehl" w:cs="FrankRuehl"/>
          <w:b/>
          <w:bCs/>
          <w:sz w:val="28"/>
          <w:szCs w:val="28"/>
          <w:rtl/>
        </w:rPr>
        <w:t xml:space="preserve"> על בסיס ראיות חסויות נוגע דווקא לפלסטינים תושבי השטחים</w:t>
      </w:r>
      <w:r w:rsidR="00CE1FCF" w:rsidRPr="001A0B66">
        <w:rPr>
          <w:rFonts w:ascii="FrankRuehl" w:hAnsi="FrankRuehl" w:cs="FrankRuehl"/>
          <w:b/>
          <w:bCs/>
          <w:sz w:val="28"/>
          <w:szCs w:val="28"/>
          <w:rtl/>
        </w:rPr>
        <w:t xml:space="preserve"> שעליהם החוק המוצע לא יחול</w:t>
      </w:r>
      <w:r w:rsidR="007E40D8" w:rsidRPr="001A0B66">
        <w:rPr>
          <w:rFonts w:ascii="FrankRuehl" w:hAnsi="FrankRuehl" w:cs="FrankRuehl"/>
          <w:sz w:val="28"/>
          <w:szCs w:val="28"/>
          <w:rtl/>
        </w:rPr>
        <w:t>.</w:t>
      </w:r>
      <w:r w:rsidR="0030188B" w:rsidRPr="001A0B66">
        <w:rPr>
          <w:rStyle w:val="FootnoteReference"/>
          <w:rFonts w:ascii="FrankRuehl" w:hAnsi="FrankRuehl" w:cs="FrankRuehl"/>
          <w:sz w:val="28"/>
          <w:szCs w:val="28"/>
          <w:rtl/>
        </w:rPr>
        <w:footnoteReference w:id="118"/>
      </w:r>
      <w:r w:rsidR="006F1FB9" w:rsidRPr="001A0B66">
        <w:rPr>
          <w:rFonts w:ascii="FrankRuehl" w:hAnsi="FrankRuehl" w:cs="FrankRuehl"/>
          <w:sz w:val="28"/>
          <w:szCs w:val="28"/>
          <w:rtl/>
        </w:rPr>
        <w:t xml:space="preserve"> </w:t>
      </w:r>
      <w:r w:rsidR="001173F5" w:rsidRPr="001A0B66">
        <w:rPr>
          <w:rFonts w:ascii="FrankRuehl" w:hAnsi="FrankRuehl" w:cs="FrankRuehl"/>
          <w:sz w:val="28"/>
          <w:szCs w:val="28"/>
          <w:rtl/>
        </w:rPr>
        <w:t>יתרה מזו</w:t>
      </w:r>
      <w:r w:rsidR="006F1FB9" w:rsidRPr="001A0B66">
        <w:rPr>
          <w:rFonts w:ascii="FrankRuehl" w:hAnsi="FrankRuehl" w:cs="FrankRuehl"/>
          <w:sz w:val="28"/>
          <w:szCs w:val="28"/>
          <w:rtl/>
        </w:rPr>
        <w:t>, המעצרים ה</w:t>
      </w:r>
      <w:r w:rsidR="007E40D8" w:rsidRPr="001A0B66">
        <w:rPr>
          <w:rFonts w:ascii="FrankRuehl" w:hAnsi="FrankRuehl" w:cs="FrankRuehl"/>
          <w:sz w:val="28"/>
          <w:szCs w:val="28"/>
          <w:rtl/>
        </w:rPr>
        <w:t>מנהליים</w:t>
      </w:r>
      <w:r w:rsidR="00856ED7" w:rsidRPr="001A0B66">
        <w:rPr>
          <w:rFonts w:ascii="FrankRuehl" w:hAnsi="FrankRuehl" w:cs="FrankRuehl"/>
          <w:sz w:val="28"/>
          <w:szCs w:val="28"/>
          <w:rtl/>
        </w:rPr>
        <w:t xml:space="preserve"> בשטחים</w:t>
      </w:r>
      <w:r w:rsidR="00D93874" w:rsidRPr="001A0B66">
        <w:rPr>
          <w:rFonts w:ascii="FrankRuehl" w:hAnsi="FrankRuehl" w:cs="FrankRuehl"/>
          <w:sz w:val="28"/>
          <w:szCs w:val="28"/>
          <w:rtl/>
        </w:rPr>
        <w:t xml:space="preserve"> הם סוג של "כביש עוקף"</w:t>
      </w:r>
      <w:r w:rsidR="001173F5" w:rsidRPr="001A0B66">
        <w:rPr>
          <w:rFonts w:ascii="FrankRuehl" w:hAnsi="FrankRuehl" w:cs="FrankRuehl"/>
          <w:sz w:val="28"/>
          <w:szCs w:val="28"/>
          <w:rtl/>
        </w:rPr>
        <w:t xml:space="preserve"> – </w:t>
      </w:r>
      <w:r w:rsidR="00D93874" w:rsidRPr="001A0B66">
        <w:rPr>
          <w:rFonts w:ascii="FrankRuehl" w:hAnsi="FrankRuehl" w:cs="FrankRuehl"/>
          <w:sz w:val="28"/>
          <w:szCs w:val="28"/>
          <w:rtl/>
        </w:rPr>
        <w:t>הם</w:t>
      </w:r>
      <w:r w:rsidR="00856ED7" w:rsidRPr="001A0B66">
        <w:rPr>
          <w:rFonts w:ascii="FrankRuehl" w:hAnsi="FrankRuehl" w:cs="FrankRuehl"/>
          <w:sz w:val="28"/>
          <w:szCs w:val="28"/>
          <w:rtl/>
        </w:rPr>
        <w:t xml:space="preserve"> "משמשים בבירור מערכת חלופית למערכת אכיפת החוק הפלילי".</w:t>
      </w:r>
      <w:r w:rsidR="006F1FB9" w:rsidRPr="001A0B66">
        <w:rPr>
          <w:rStyle w:val="FootnoteReference"/>
          <w:rFonts w:ascii="FrankRuehl" w:hAnsi="FrankRuehl" w:cs="FrankRuehl"/>
          <w:sz w:val="28"/>
          <w:szCs w:val="28"/>
          <w:rtl/>
        </w:rPr>
        <w:footnoteReference w:id="119"/>
      </w:r>
      <w:r w:rsidR="007E40D8" w:rsidRPr="001A0B66">
        <w:rPr>
          <w:rFonts w:ascii="FrankRuehl" w:hAnsi="FrankRuehl" w:cs="FrankRuehl"/>
          <w:sz w:val="28"/>
          <w:szCs w:val="28"/>
          <w:rtl/>
        </w:rPr>
        <w:t xml:space="preserve"> </w:t>
      </w:r>
      <w:r w:rsidR="00DA5CAB" w:rsidRPr="001A0B66">
        <w:rPr>
          <w:rFonts w:ascii="FrankRuehl" w:hAnsi="FrankRuehl" w:cs="FrankRuehl"/>
          <w:sz w:val="28"/>
          <w:szCs w:val="28"/>
          <w:rtl/>
        </w:rPr>
        <w:t>משמעות הדבר היא כפולה</w:t>
      </w:r>
      <w:r w:rsidR="001173F5" w:rsidRPr="001A0B66">
        <w:rPr>
          <w:rFonts w:ascii="FrankRuehl" w:hAnsi="FrankRuehl" w:cs="FrankRuehl"/>
          <w:sz w:val="28"/>
          <w:szCs w:val="28"/>
          <w:rtl/>
        </w:rPr>
        <w:t xml:space="preserve">. </w:t>
      </w:r>
    </w:p>
    <w:p w14:paraId="77930AF7" w14:textId="77777777" w:rsidR="000D2217" w:rsidRPr="001A0B66" w:rsidRDefault="00D93874" w:rsidP="00F307FB">
      <w:pPr>
        <w:pStyle w:val="a0"/>
        <w:spacing w:line="276" w:lineRule="auto"/>
        <w:rPr>
          <w:rFonts w:ascii="FrankRuehl" w:hAnsi="FrankRuehl" w:cs="FrankRuehl"/>
          <w:sz w:val="28"/>
          <w:szCs w:val="28"/>
        </w:rPr>
      </w:pPr>
      <w:r w:rsidRPr="001A0B66">
        <w:rPr>
          <w:rFonts w:ascii="FrankRuehl" w:hAnsi="FrankRuehl" w:cs="FrankRuehl"/>
          <w:sz w:val="28"/>
          <w:szCs w:val="28"/>
          <w:rtl/>
        </w:rPr>
        <w:t xml:space="preserve">ראשית, </w:t>
      </w:r>
      <w:r w:rsidR="00037E09" w:rsidRPr="001A0B66">
        <w:rPr>
          <w:rFonts w:ascii="FrankRuehl" w:hAnsi="FrankRuehl" w:cs="FrankRuehl"/>
          <w:sz w:val="28"/>
          <w:szCs w:val="28"/>
          <w:rtl/>
        </w:rPr>
        <w:t xml:space="preserve">בשטחים </w:t>
      </w:r>
      <w:r w:rsidR="000D2217" w:rsidRPr="001A0B66">
        <w:rPr>
          <w:rFonts w:ascii="FrankRuehl" w:hAnsi="FrankRuehl" w:cs="FrankRuehl"/>
          <w:sz w:val="28"/>
          <w:szCs w:val="28"/>
          <w:rtl/>
        </w:rPr>
        <w:t xml:space="preserve">מחיל הממשל הצבאי הישראלי מערכת דינים נפרדת באמצעות מנשרים וצווים </w:t>
      </w:r>
      <w:r w:rsidR="00896C35" w:rsidRPr="001A0B66">
        <w:rPr>
          <w:rFonts w:ascii="FrankRuehl" w:hAnsi="FrankRuehl" w:cs="FrankRuehl"/>
          <w:sz w:val="28"/>
          <w:szCs w:val="28"/>
          <w:rtl/>
        </w:rPr>
        <w:t>שמוציא</w:t>
      </w:r>
      <w:r w:rsidR="0021161B" w:rsidRPr="001A0B66">
        <w:rPr>
          <w:rFonts w:ascii="FrankRuehl" w:hAnsi="FrankRuehl" w:cs="FrankRuehl"/>
          <w:sz w:val="28"/>
          <w:szCs w:val="28"/>
          <w:rtl/>
        </w:rPr>
        <w:t xml:space="preserve"> המפקד הצבאי</w:t>
      </w:r>
      <w:r w:rsidR="004E43D1" w:rsidRPr="001A0B66">
        <w:rPr>
          <w:rFonts w:ascii="FrankRuehl" w:hAnsi="FrankRuehl" w:cs="FrankRuehl"/>
          <w:sz w:val="28"/>
          <w:szCs w:val="28"/>
          <w:rtl/>
        </w:rPr>
        <w:t xml:space="preserve"> (</w:t>
      </w:r>
      <w:r w:rsidR="000D2217" w:rsidRPr="001A0B66">
        <w:rPr>
          <w:rFonts w:ascii="FrankRuehl" w:hAnsi="FrankRuehl" w:cs="FrankRuehl"/>
          <w:sz w:val="28"/>
          <w:szCs w:val="28"/>
          <w:rtl/>
        </w:rPr>
        <w:t xml:space="preserve">אלוף פיקוד </w:t>
      </w:r>
      <w:r w:rsidR="001173F5" w:rsidRPr="001A0B66">
        <w:rPr>
          <w:rFonts w:ascii="FrankRuehl" w:hAnsi="FrankRuehl" w:cs="FrankRuehl"/>
          <w:sz w:val="28"/>
          <w:szCs w:val="28"/>
          <w:rtl/>
        </w:rPr>
        <w:t>ה</w:t>
      </w:r>
      <w:r w:rsidR="000D2217" w:rsidRPr="001A0B66">
        <w:rPr>
          <w:rFonts w:ascii="FrankRuehl" w:hAnsi="FrankRuehl" w:cs="FrankRuehl"/>
          <w:sz w:val="28"/>
          <w:szCs w:val="28"/>
          <w:rtl/>
        </w:rPr>
        <w:t>מרכז</w:t>
      </w:r>
      <w:r w:rsidR="004E43D1" w:rsidRPr="001A0B66">
        <w:rPr>
          <w:rFonts w:ascii="FrankRuehl" w:hAnsi="FrankRuehl" w:cs="FrankRuehl"/>
          <w:sz w:val="28"/>
          <w:szCs w:val="28"/>
          <w:rtl/>
        </w:rPr>
        <w:t>)</w:t>
      </w:r>
      <w:r w:rsidR="00031530" w:rsidRPr="001A0B66">
        <w:rPr>
          <w:rFonts w:ascii="FrankRuehl" w:hAnsi="FrankRuehl" w:cs="FrankRuehl"/>
          <w:sz w:val="28"/>
          <w:szCs w:val="28"/>
          <w:rtl/>
        </w:rPr>
        <w:t xml:space="preserve"> </w:t>
      </w:r>
      <w:r w:rsidR="001173F5" w:rsidRPr="001A0B66">
        <w:rPr>
          <w:rFonts w:ascii="FrankRuehl" w:hAnsi="FrankRuehl" w:cs="FrankRuehl"/>
          <w:sz w:val="28"/>
          <w:szCs w:val="28"/>
          <w:rtl/>
        </w:rPr>
        <w:t xml:space="preserve">ואשר </w:t>
      </w:r>
      <w:r w:rsidR="00031530" w:rsidRPr="001A0B66">
        <w:rPr>
          <w:rFonts w:ascii="FrankRuehl" w:hAnsi="FrankRuehl" w:cs="FrankRuehl"/>
          <w:sz w:val="28"/>
          <w:szCs w:val="28"/>
          <w:rtl/>
        </w:rPr>
        <w:t xml:space="preserve">מופעלים בעיקר כלפי </w:t>
      </w:r>
      <w:r w:rsidR="00116550" w:rsidRPr="001A0B66">
        <w:rPr>
          <w:rFonts w:ascii="FrankRuehl" w:hAnsi="FrankRuehl" w:cs="FrankRuehl"/>
          <w:sz w:val="28"/>
          <w:szCs w:val="28"/>
          <w:rtl/>
        </w:rPr>
        <w:t>ה</w:t>
      </w:r>
      <w:r w:rsidR="00031530" w:rsidRPr="001A0B66">
        <w:rPr>
          <w:rFonts w:ascii="FrankRuehl" w:hAnsi="FrankRuehl" w:cs="FrankRuehl"/>
          <w:sz w:val="28"/>
          <w:szCs w:val="28"/>
          <w:rtl/>
        </w:rPr>
        <w:t xml:space="preserve">תושבים </w:t>
      </w:r>
      <w:r w:rsidR="00116550" w:rsidRPr="001A0B66">
        <w:rPr>
          <w:rFonts w:ascii="FrankRuehl" w:hAnsi="FrankRuehl" w:cs="FrankRuehl"/>
          <w:sz w:val="28"/>
          <w:szCs w:val="28"/>
          <w:rtl/>
        </w:rPr>
        <w:t>ה</w:t>
      </w:r>
      <w:r w:rsidR="00031530" w:rsidRPr="001A0B66">
        <w:rPr>
          <w:rFonts w:ascii="FrankRuehl" w:hAnsi="FrankRuehl" w:cs="FrankRuehl"/>
          <w:sz w:val="28"/>
          <w:szCs w:val="28"/>
          <w:rtl/>
        </w:rPr>
        <w:t>פלסטינים</w:t>
      </w:r>
      <w:r w:rsidR="000D2217" w:rsidRPr="001A0B66">
        <w:rPr>
          <w:rFonts w:ascii="FrankRuehl" w:hAnsi="FrankRuehl" w:cs="FrankRuehl"/>
          <w:sz w:val="28"/>
          <w:szCs w:val="28"/>
          <w:rtl/>
        </w:rPr>
        <w:t>.</w:t>
      </w:r>
      <w:bookmarkStart w:id="94" w:name="_Ref53042794"/>
      <w:r w:rsidR="005C77B1" w:rsidRPr="001A0B66">
        <w:rPr>
          <w:rStyle w:val="FootnoteReference"/>
          <w:rFonts w:ascii="FrankRuehl" w:hAnsi="FrankRuehl" w:cs="FrankRuehl"/>
          <w:sz w:val="28"/>
          <w:szCs w:val="28"/>
          <w:rtl/>
        </w:rPr>
        <w:footnoteReference w:id="120"/>
      </w:r>
      <w:bookmarkEnd w:id="94"/>
      <w:r w:rsidR="000D2217" w:rsidRPr="001A0B66">
        <w:rPr>
          <w:rFonts w:ascii="FrankRuehl" w:hAnsi="FrankRuehl" w:cs="FrankRuehl"/>
          <w:sz w:val="28"/>
          <w:szCs w:val="28"/>
          <w:rtl/>
        </w:rPr>
        <w:t xml:space="preserve"> </w:t>
      </w:r>
      <w:r w:rsidR="00CB0989" w:rsidRPr="001A0B66">
        <w:rPr>
          <w:rFonts w:ascii="FrankRuehl" w:hAnsi="FrankRuehl" w:cs="FrankRuehl"/>
          <w:sz w:val="28"/>
          <w:szCs w:val="28"/>
          <w:rtl/>
        </w:rPr>
        <w:t xml:space="preserve">אשר על כן </w:t>
      </w:r>
      <w:r w:rsidR="000D2217" w:rsidRPr="001A0B66">
        <w:rPr>
          <w:rFonts w:ascii="FrankRuehl" w:hAnsi="FrankRuehl" w:cs="FrankRuehl"/>
          <w:sz w:val="28"/>
          <w:szCs w:val="28"/>
          <w:rtl/>
        </w:rPr>
        <w:t xml:space="preserve">הליכים שכוללים חסיון </w:t>
      </w:r>
      <w:r w:rsidR="00C31E0C" w:rsidRPr="001A0B66">
        <w:rPr>
          <w:rFonts w:ascii="FrankRuehl" w:hAnsi="FrankRuehl" w:cs="FrankRuehl"/>
          <w:sz w:val="28"/>
          <w:szCs w:val="28"/>
          <w:rtl/>
        </w:rPr>
        <w:t>רא</w:t>
      </w:r>
      <w:r w:rsidR="000D2217" w:rsidRPr="001A0B66">
        <w:rPr>
          <w:rFonts w:ascii="FrankRuehl" w:hAnsi="FrankRuehl" w:cs="FrankRuehl"/>
          <w:sz w:val="28"/>
          <w:szCs w:val="28"/>
          <w:rtl/>
        </w:rPr>
        <w:t>יות מעוגנים במערכת צווים בדבר הוראות בטחון</w:t>
      </w:r>
      <w:r w:rsidR="00527466" w:rsidRPr="001A0B66">
        <w:rPr>
          <w:rStyle w:val="FootnoteReference"/>
          <w:rFonts w:ascii="FrankRuehl" w:hAnsi="FrankRuehl" w:cs="FrankRuehl"/>
          <w:sz w:val="28"/>
          <w:szCs w:val="28"/>
          <w:rtl/>
        </w:rPr>
        <w:footnoteReference w:id="121"/>
      </w:r>
      <w:r w:rsidR="00527466" w:rsidRPr="001A0B66">
        <w:rPr>
          <w:rFonts w:ascii="FrankRuehl" w:hAnsi="FrankRuehl" w:cs="FrankRuehl"/>
          <w:sz w:val="28"/>
          <w:szCs w:val="28"/>
          <w:rtl/>
        </w:rPr>
        <w:t xml:space="preserve"> או בתקנות ההגנה</w:t>
      </w:r>
      <w:r w:rsidR="001173F5" w:rsidRPr="001A0B66">
        <w:rPr>
          <w:rFonts w:ascii="FrankRuehl" w:hAnsi="FrankRuehl" w:cs="FrankRuehl"/>
          <w:sz w:val="28"/>
          <w:szCs w:val="28"/>
          <w:rtl/>
        </w:rPr>
        <w:t xml:space="preserve"> –</w:t>
      </w:r>
      <w:r w:rsidR="00527466" w:rsidRPr="001A0B66">
        <w:rPr>
          <w:rFonts w:ascii="FrankRuehl" w:hAnsi="FrankRuehl" w:cs="FrankRuehl"/>
          <w:sz w:val="28"/>
          <w:szCs w:val="28"/>
          <w:rtl/>
        </w:rPr>
        <w:t xml:space="preserve"> ש</w:t>
      </w:r>
      <w:r w:rsidR="007E40D8" w:rsidRPr="001A0B66">
        <w:rPr>
          <w:rFonts w:ascii="FrankRuehl" w:hAnsi="FrankRuehl" w:cs="FrankRuehl"/>
          <w:sz w:val="28"/>
          <w:szCs w:val="28"/>
          <w:rtl/>
        </w:rPr>
        <w:t xml:space="preserve">היו ועודן </w:t>
      </w:r>
      <w:r w:rsidR="00527466" w:rsidRPr="001A0B66">
        <w:rPr>
          <w:rFonts w:ascii="FrankRuehl" w:hAnsi="FrankRuehl" w:cs="FrankRuehl"/>
          <w:sz w:val="28"/>
          <w:szCs w:val="28"/>
          <w:rtl/>
        </w:rPr>
        <w:t>חלק מהמשפט בשטחים</w:t>
      </w:r>
      <w:r w:rsidR="000D2217" w:rsidRPr="001A0B66">
        <w:rPr>
          <w:rFonts w:ascii="FrankRuehl" w:hAnsi="FrankRuehl" w:cs="FrankRuehl"/>
          <w:sz w:val="28"/>
          <w:szCs w:val="28"/>
          <w:rtl/>
        </w:rPr>
        <w:t>.</w:t>
      </w:r>
      <w:r w:rsidR="001F667F" w:rsidRPr="001A0B66">
        <w:rPr>
          <w:rStyle w:val="FootnoteReference"/>
          <w:rFonts w:ascii="FrankRuehl" w:hAnsi="FrankRuehl" w:cs="FrankRuehl"/>
          <w:sz w:val="28"/>
          <w:szCs w:val="28"/>
          <w:rtl/>
        </w:rPr>
        <w:footnoteReference w:id="122"/>
      </w:r>
      <w:r w:rsidR="000D2217" w:rsidRPr="001A0B66">
        <w:rPr>
          <w:rFonts w:ascii="FrankRuehl" w:hAnsi="FrankRuehl" w:cs="FrankRuehl"/>
          <w:sz w:val="28"/>
          <w:szCs w:val="28"/>
          <w:rtl/>
        </w:rPr>
        <w:t xml:space="preserve"> לפיכך, מנגנון עורכי דין המיוחדים כפי שהוא מוצע בהסדר</w:t>
      </w:r>
      <w:r w:rsidR="001173F5" w:rsidRPr="001A0B66">
        <w:rPr>
          <w:rFonts w:ascii="FrankRuehl" w:hAnsi="FrankRuehl" w:cs="FrankRuehl"/>
          <w:sz w:val="28"/>
          <w:szCs w:val="28"/>
          <w:rtl/>
        </w:rPr>
        <w:t xml:space="preserve"> אינו</w:t>
      </w:r>
      <w:r w:rsidR="000D2217" w:rsidRPr="001A0B66">
        <w:rPr>
          <w:rFonts w:ascii="FrankRuehl" w:hAnsi="FrankRuehl" w:cs="FrankRuehl"/>
          <w:sz w:val="28"/>
          <w:szCs w:val="28"/>
          <w:rtl/>
        </w:rPr>
        <w:t xml:space="preserve"> צפוי לחול </w:t>
      </w:r>
      <w:r w:rsidR="00D57F31" w:rsidRPr="001A0B66">
        <w:rPr>
          <w:rFonts w:ascii="FrankRuehl" w:hAnsi="FrankRuehl" w:cs="FrankRuehl"/>
          <w:sz w:val="28"/>
          <w:szCs w:val="28"/>
          <w:rtl/>
        </w:rPr>
        <w:t xml:space="preserve">ישירות </w:t>
      </w:r>
      <w:r w:rsidR="000D2217" w:rsidRPr="001A0B66">
        <w:rPr>
          <w:rFonts w:ascii="FrankRuehl" w:hAnsi="FrankRuehl" w:cs="FrankRuehl"/>
          <w:sz w:val="28"/>
          <w:szCs w:val="28"/>
          <w:rtl/>
        </w:rPr>
        <w:t>על חלק ניכר מהמקרים של מעצרים מנהליים</w:t>
      </w:r>
      <w:r w:rsidR="00527466" w:rsidRPr="001A0B66">
        <w:rPr>
          <w:rFonts w:ascii="FrankRuehl" w:hAnsi="FrankRuehl" w:cs="FrankRuehl"/>
          <w:sz w:val="28"/>
          <w:szCs w:val="28"/>
          <w:rtl/>
        </w:rPr>
        <w:t xml:space="preserve"> </w:t>
      </w:r>
      <w:r w:rsidR="00896C35" w:rsidRPr="001A0B66">
        <w:rPr>
          <w:rFonts w:ascii="FrankRuehl" w:hAnsi="FrankRuehl" w:cs="FrankRuehl"/>
          <w:sz w:val="28"/>
          <w:szCs w:val="28"/>
          <w:rtl/>
        </w:rPr>
        <w:t xml:space="preserve">וצווי הגבלה </w:t>
      </w:r>
      <w:r w:rsidR="00527466" w:rsidRPr="001A0B66">
        <w:rPr>
          <w:rFonts w:ascii="FrankRuehl" w:hAnsi="FrankRuehl" w:cs="FrankRuehl"/>
          <w:sz w:val="28"/>
          <w:szCs w:val="28"/>
          <w:rtl/>
        </w:rPr>
        <w:t xml:space="preserve">המופעלים על ידי </w:t>
      </w:r>
      <w:r w:rsidR="00037E09" w:rsidRPr="001A0B66">
        <w:rPr>
          <w:rFonts w:ascii="FrankRuehl" w:hAnsi="FrankRuehl" w:cs="FrankRuehl"/>
          <w:sz w:val="28"/>
          <w:szCs w:val="28"/>
          <w:rtl/>
        </w:rPr>
        <w:t>רשויות</w:t>
      </w:r>
      <w:r w:rsidR="001173F5" w:rsidRPr="001A0B66">
        <w:rPr>
          <w:rFonts w:ascii="FrankRuehl" w:hAnsi="FrankRuehl" w:cs="FrankRuehl"/>
          <w:sz w:val="28"/>
          <w:szCs w:val="28"/>
          <w:rtl/>
        </w:rPr>
        <w:t xml:space="preserve"> המדינה</w:t>
      </w:r>
      <w:r w:rsidR="00527466" w:rsidRPr="001A0B66">
        <w:rPr>
          <w:rFonts w:ascii="FrankRuehl" w:hAnsi="FrankRuehl" w:cs="FrankRuehl"/>
          <w:sz w:val="28"/>
          <w:szCs w:val="28"/>
          <w:rtl/>
        </w:rPr>
        <w:t>.</w:t>
      </w:r>
      <w:r w:rsidR="000D2217" w:rsidRPr="001A0B66">
        <w:rPr>
          <w:rFonts w:ascii="FrankRuehl" w:hAnsi="FrankRuehl" w:cs="FrankRuehl"/>
          <w:sz w:val="28"/>
          <w:szCs w:val="28"/>
          <w:rtl/>
        </w:rPr>
        <w:t xml:space="preserve"> </w:t>
      </w:r>
      <w:r w:rsidR="002A5EC4" w:rsidRPr="001A0B66">
        <w:rPr>
          <w:rFonts w:ascii="FrankRuehl" w:hAnsi="FrankRuehl" w:cs="FrankRuehl"/>
          <w:sz w:val="28"/>
          <w:szCs w:val="28"/>
          <w:rtl/>
        </w:rPr>
        <w:t>ניתוחה של קרבס חושף נקודה זו</w:t>
      </w:r>
      <w:r w:rsidR="001173F5" w:rsidRPr="001A0B66">
        <w:rPr>
          <w:rFonts w:ascii="FrankRuehl" w:hAnsi="FrankRuehl" w:cs="FrankRuehl"/>
          <w:sz w:val="28"/>
          <w:szCs w:val="28"/>
          <w:rtl/>
        </w:rPr>
        <w:t>:</w:t>
      </w:r>
      <w:r w:rsidR="002A5EC4" w:rsidRPr="001A0B66">
        <w:rPr>
          <w:rFonts w:ascii="FrankRuehl" w:hAnsi="FrankRuehl" w:cs="FrankRuehl"/>
          <w:sz w:val="28"/>
          <w:szCs w:val="28"/>
          <w:rtl/>
        </w:rPr>
        <w:t xml:space="preserve"> בשנים</w:t>
      </w:r>
      <w:r w:rsidR="00896C35" w:rsidRPr="001A0B66">
        <w:rPr>
          <w:rFonts w:ascii="FrankRuehl" w:hAnsi="FrankRuehl" w:cs="FrankRuehl"/>
          <w:sz w:val="28"/>
          <w:szCs w:val="28"/>
          <w:rtl/>
        </w:rPr>
        <w:t xml:space="preserve"> 20</w:t>
      </w:r>
      <w:r w:rsidR="001173F5" w:rsidRPr="001A0B66">
        <w:rPr>
          <w:rFonts w:ascii="FrankRuehl" w:hAnsi="FrankRuehl" w:cs="FrankRuehl"/>
          <w:sz w:val="28"/>
          <w:szCs w:val="28"/>
          <w:rtl/>
        </w:rPr>
        <w:t>00–</w:t>
      </w:r>
      <w:r w:rsidR="00896C35" w:rsidRPr="001A0B66">
        <w:rPr>
          <w:rFonts w:ascii="FrankRuehl" w:hAnsi="FrankRuehl" w:cs="FrankRuehl"/>
          <w:sz w:val="28"/>
          <w:szCs w:val="28"/>
          <w:rtl/>
        </w:rPr>
        <w:t>20</w:t>
      </w:r>
      <w:r w:rsidR="001173F5" w:rsidRPr="001A0B66">
        <w:rPr>
          <w:rFonts w:ascii="FrankRuehl" w:hAnsi="FrankRuehl" w:cs="FrankRuehl"/>
          <w:sz w:val="28"/>
          <w:szCs w:val="28"/>
          <w:rtl/>
        </w:rPr>
        <w:t>1</w:t>
      </w:r>
      <w:r w:rsidR="00896C35" w:rsidRPr="001A0B66">
        <w:rPr>
          <w:rFonts w:ascii="FrankRuehl" w:hAnsi="FrankRuehl" w:cs="FrankRuehl"/>
          <w:sz w:val="28"/>
          <w:szCs w:val="28"/>
          <w:rtl/>
        </w:rPr>
        <w:t>0</w:t>
      </w:r>
      <w:r w:rsidR="002A5EC4" w:rsidRPr="001A0B66">
        <w:rPr>
          <w:rFonts w:ascii="FrankRuehl" w:hAnsi="FrankRuehl" w:cs="FrankRuehl"/>
          <w:sz w:val="28"/>
          <w:szCs w:val="28"/>
          <w:rtl/>
        </w:rPr>
        <w:t xml:space="preserve"> 88% מהמעצרים המנהליים </w:t>
      </w:r>
      <w:r w:rsidR="001F0445" w:rsidRPr="001A0B66">
        <w:rPr>
          <w:rFonts w:ascii="FrankRuehl" w:hAnsi="FrankRuehl" w:cs="FrankRuehl"/>
          <w:sz w:val="28"/>
          <w:szCs w:val="28"/>
          <w:rtl/>
        </w:rPr>
        <w:t>שהט</w:t>
      </w:r>
      <w:r w:rsidR="001173F5" w:rsidRPr="001A0B66">
        <w:rPr>
          <w:rFonts w:ascii="FrankRuehl" w:hAnsi="FrankRuehl" w:cs="FrankRuehl"/>
          <w:sz w:val="28"/>
          <w:szCs w:val="28"/>
          <w:rtl/>
        </w:rPr>
        <w:t>י</w:t>
      </w:r>
      <w:r w:rsidR="001F0445" w:rsidRPr="001A0B66">
        <w:rPr>
          <w:rFonts w:ascii="FrankRuehl" w:hAnsi="FrankRuehl" w:cs="FrankRuehl"/>
          <w:sz w:val="28"/>
          <w:szCs w:val="28"/>
          <w:rtl/>
        </w:rPr>
        <w:t xml:space="preserve">לו רשויות </w:t>
      </w:r>
      <w:r w:rsidR="001173F5" w:rsidRPr="001A0B66">
        <w:rPr>
          <w:rFonts w:ascii="FrankRuehl" w:hAnsi="FrankRuehl" w:cs="FrankRuehl"/>
          <w:sz w:val="28"/>
          <w:szCs w:val="28"/>
          <w:rtl/>
        </w:rPr>
        <w:t>ה</w:t>
      </w:r>
      <w:r w:rsidR="001F0445" w:rsidRPr="001A0B66">
        <w:rPr>
          <w:rFonts w:ascii="FrankRuehl" w:hAnsi="FrankRuehl" w:cs="FrankRuehl"/>
          <w:sz w:val="28"/>
          <w:szCs w:val="28"/>
          <w:rtl/>
        </w:rPr>
        <w:t>שלטו</w:t>
      </w:r>
      <w:r w:rsidR="001173F5" w:rsidRPr="001A0B66">
        <w:rPr>
          <w:rFonts w:ascii="FrankRuehl" w:hAnsi="FrankRuehl" w:cs="FrankRuehl"/>
          <w:sz w:val="28"/>
          <w:szCs w:val="28"/>
          <w:rtl/>
        </w:rPr>
        <w:t>ן</w:t>
      </w:r>
      <w:r w:rsidR="001F0445" w:rsidRPr="001A0B66">
        <w:rPr>
          <w:rFonts w:ascii="FrankRuehl" w:hAnsi="FrankRuehl" w:cs="FrankRuehl"/>
          <w:sz w:val="28"/>
          <w:szCs w:val="28"/>
          <w:rtl/>
        </w:rPr>
        <w:t xml:space="preserve"> </w:t>
      </w:r>
      <w:r w:rsidR="001173F5" w:rsidRPr="001A0B66">
        <w:rPr>
          <w:rFonts w:ascii="FrankRuehl" w:hAnsi="FrankRuehl" w:cs="FrankRuehl"/>
          <w:sz w:val="28"/>
          <w:szCs w:val="28"/>
          <w:rtl/>
        </w:rPr>
        <w:t>ב</w:t>
      </w:r>
      <w:r w:rsidR="002A5EC4" w:rsidRPr="001A0B66">
        <w:rPr>
          <w:rFonts w:ascii="FrankRuehl" w:hAnsi="FrankRuehl" w:cs="FrankRuehl"/>
          <w:sz w:val="28"/>
          <w:szCs w:val="28"/>
          <w:rtl/>
        </w:rPr>
        <w:t xml:space="preserve">ישראל התנהלו </w:t>
      </w:r>
      <w:r w:rsidR="001173F5" w:rsidRPr="001A0B66">
        <w:rPr>
          <w:rFonts w:ascii="FrankRuehl" w:hAnsi="FrankRuehl" w:cs="FrankRuehl"/>
          <w:sz w:val="28"/>
          <w:szCs w:val="28"/>
          <w:rtl/>
        </w:rPr>
        <w:t xml:space="preserve">מכוח </w:t>
      </w:r>
      <w:r w:rsidR="002A5EC4" w:rsidRPr="001A0B66">
        <w:rPr>
          <w:rFonts w:ascii="FrankRuehl" w:hAnsi="FrankRuehl" w:cs="FrankRuehl"/>
          <w:sz w:val="28"/>
          <w:szCs w:val="28"/>
          <w:rtl/>
        </w:rPr>
        <w:t>צו הוראות ב</w:t>
      </w:r>
      <w:r w:rsidR="001173F5" w:rsidRPr="001A0B66">
        <w:rPr>
          <w:rFonts w:ascii="FrankRuehl" w:hAnsi="FrankRuehl" w:cs="FrankRuehl"/>
          <w:sz w:val="28"/>
          <w:szCs w:val="28"/>
          <w:rtl/>
        </w:rPr>
        <w:t>י</w:t>
      </w:r>
      <w:r w:rsidR="002A5EC4" w:rsidRPr="001A0B66">
        <w:rPr>
          <w:rFonts w:ascii="FrankRuehl" w:hAnsi="FrankRuehl" w:cs="FrankRuehl"/>
          <w:sz w:val="28"/>
          <w:szCs w:val="28"/>
          <w:rtl/>
        </w:rPr>
        <w:t xml:space="preserve">טחון </w:t>
      </w:r>
      <w:r w:rsidR="001F0445" w:rsidRPr="001A0B66">
        <w:rPr>
          <w:rFonts w:ascii="FrankRuehl" w:hAnsi="FrankRuehl" w:cs="FrankRuehl"/>
          <w:sz w:val="28"/>
          <w:szCs w:val="28"/>
          <w:rtl/>
        </w:rPr>
        <w:t xml:space="preserve">של המפקד הצבאי </w:t>
      </w:r>
      <w:r w:rsidR="002A5EC4" w:rsidRPr="001A0B66">
        <w:rPr>
          <w:rFonts w:ascii="FrankRuehl" w:hAnsi="FrankRuehl" w:cs="FrankRuehl"/>
          <w:sz w:val="28"/>
          <w:szCs w:val="28"/>
          <w:rtl/>
        </w:rPr>
        <w:t xml:space="preserve">בשטחים, לעומת 8% </w:t>
      </w:r>
      <w:r w:rsidR="001173F5" w:rsidRPr="001A0B66">
        <w:rPr>
          <w:rFonts w:ascii="FrankRuehl" w:hAnsi="FrankRuehl" w:cs="FrankRuehl"/>
          <w:sz w:val="28"/>
          <w:szCs w:val="28"/>
          <w:rtl/>
        </w:rPr>
        <w:t xml:space="preserve">מכוח </w:t>
      </w:r>
      <w:r w:rsidR="002A5EC4" w:rsidRPr="001A0B66">
        <w:rPr>
          <w:rFonts w:ascii="FrankRuehl" w:hAnsi="FrankRuehl" w:cs="FrankRuehl"/>
          <w:sz w:val="28"/>
          <w:szCs w:val="28"/>
          <w:rtl/>
        </w:rPr>
        <w:t>חוק כליאתם של לוחמים בלתי חוקיים ו</w:t>
      </w:r>
      <w:r w:rsidR="00730914" w:rsidRPr="001A0B66">
        <w:rPr>
          <w:rFonts w:ascii="FrankRuehl" w:hAnsi="FrankRuehl" w:cs="FrankRuehl"/>
          <w:sz w:val="28"/>
          <w:szCs w:val="28"/>
          <w:rtl/>
        </w:rPr>
        <w:t xml:space="preserve">רק </w:t>
      </w:r>
      <w:r w:rsidR="002A5EC4" w:rsidRPr="001A0B66">
        <w:rPr>
          <w:rFonts w:ascii="FrankRuehl" w:hAnsi="FrankRuehl" w:cs="FrankRuehl"/>
          <w:sz w:val="28"/>
          <w:szCs w:val="28"/>
          <w:rtl/>
        </w:rPr>
        <w:t xml:space="preserve">4% </w:t>
      </w:r>
      <w:r w:rsidR="001173F5" w:rsidRPr="001A0B66">
        <w:rPr>
          <w:rFonts w:ascii="FrankRuehl" w:hAnsi="FrankRuehl" w:cs="FrankRuehl"/>
          <w:sz w:val="28"/>
          <w:szCs w:val="28"/>
          <w:rtl/>
        </w:rPr>
        <w:t>מכוח</w:t>
      </w:r>
      <w:r w:rsidR="002A5EC4" w:rsidRPr="001A0B66">
        <w:rPr>
          <w:rFonts w:ascii="FrankRuehl" w:hAnsi="FrankRuehl" w:cs="FrankRuehl"/>
          <w:sz w:val="28"/>
          <w:szCs w:val="28"/>
          <w:rtl/>
        </w:rPr>
        <w:t xml:space="preserve"> חוק סמכויות שעת חירום (מעצרים)</w:t>
      </w:r>
      <w:r w:rsidR="001F0445" w:rsidRPr="001A0B66">
        <w:rPr>
          <w:rFonts w:ascii="FrankRuehl" w:hAnsi="FrankRuehl" w:cs="FrankRuehl"/>
          <w:sz w:val="28"/>
          <w:szCs w:val="28"/>
          <w:rtl/>
        </w:rPr>
        <w:t xml:space="preserve">, </w:t>
      </w:r>
      <w:r w:rsidR="00730914" w:rsidRPr="001A0B66">
        <w:rPr>
          <w:rFonts w:ascii="FrankRuehl" w:hAnsi="FrankRuehl" w:cs="FrankRuehl"/>
          <w:sz w:val="28"/>
          <w:szCs w:val="28"/>
          <w:rtl/>
        </w:rPr>
        <w:t>הנוגע ל</w:t>
      </w:r>
      <w:r w:rsidR="00E32C86" w:rsidRPr="001A0B66">
        <w:rPr>
          <w:rFonts w:ascii="FrankRuehl" w:hAnsi="FrankRuehl" w:cs="FrankRuehl"/>
          <w:sz w:val="28"/>
          <w:szCs w:val="28"/>
          <w:rtl/>
        </w:rPr>
        <w:t xml:space="preserve">אזרחים </w:t>
      </w:r>
      <w:r w:rsidR="001F0445" w:rsidRPr="001A0B66">
        <w:rPr>
          <w:rFonts w:ascii="FrankRuehl" w:hAnsi="FrankRuehl" w:cs="FrankRuehl"/>
          <w:sz w:val="28"/>
          <w:szCs w:val="28"/>
          <w:rtl/>
        </w:rPr>
        <w:t>(</w:t>
      </w:r>
      <w:r w:rsidR="00E32C86" w:rsidRPr="001A0B66">
        <w:rPr>
          <w:rFonts w:ascii="FrankRuehl" w:hAnsi="FrankRuehl" w:cs="FrankRuehl"/>
          <w:sz w:val="28"/>
          <w:szCs w:val="28"/>
          <w:rtl/>
        </w:rPr>
        <w:t>ערבים ויהודים</w:t>
      </w:r>
      <w:r w:rsidR="001F0445" w:rsidRPr="001A0B66">
        <w:rPr>
          <w:rFonts w:ascii="FrankRuehl" w:hAnsi="FrankRuehl" w:cs="FrankRuehl"/>
          <w:sz w:val="28"/>
          <w:szCs w:val="28"/>
          <w:rtl/>
        </w:rPr>
        <w:t>)</w:t>
      </w:r>
      <w:r w:rsidR="00E32C86" w:rsidRPr="001A0B66">
        <w:rPr>
          <w:rFonts w:ascii="FrankRuehl" w:hAnsi="FrankRuehl" w:cs="FrankRuehl"/>
          <w:sz w:val="28"/>
          <w:szCs w:val="28"/>
          <w:rtl/>
        </w:rPr>
        <w:t xml:space="preserve"> ו</w:t>
      </w:r>
      <w:r w:rsidR="00730914" w:rsidRPr="001A0B66">
        <w:rPr>
          <w:rFonts w:ascii="FrankRuehl" w:hAnsi="FrankRuehl" w:cs="FrankRuehl"/>
          <w:sz w:val="28"/>
          <w:szCs w:val="28"/>
          <w:rtl/>
        </w:rPr>
        <w:t>ל</w:t>
      </w:r>
      <w:r w:rsidR="00E32C86" w:rsidRPr="001A0B66">
        <w:rPr>
          <w:rFonts w:ascii="FrankRuehl" w:hAnsi="FrankRuehl" w:cs="FrankRuehl"/>
          <w:sz w:val="28"/>
          <w:szCs w:val="28"/>
          <w:rtl/>
        </w:rPr>
        <w:t xml:space="preserve">תושבים </w:t>
      </w:r>
      <w:r w:rsidR="001F0445" w:rsidRPr="001A0B66">
        <w:rPr>
          <w:rFonts w:ascii="FrankRuehl" w:hAnsi="FrankRuehl" w:cs="FrankRuehl"/>
          <w:sz w:val="28"/>
          <w:szCs w:val="28"/>
          <w:rtl/>
        </w:rPr>
        <w:t>(</w:t>
      </w:r>
      <w:r w:rsidR="00E32C86" w:rsidRPr="001A0B66">
        <w:rPr>
          <w:rFonts w:ascii="FrankRuehl" w:hAnsi="FrankRuehl" w:cs="FrankRuehl"/>
          <w:sz w:val="28"/>
          <w:szCs w:val="28"/>
          <w:rtl/>
        </w:rPr>
        <w:t>פלסטינים</w:t>
      </w:r>
      <w:r w:rsidR="00730914" w:rsidRPr="001A0B66">
        <w:rPr>
          <w:rFonts w:ascii="FrankRuehl" w:hAnsi="FrankRuehl" w:cs="FrankRuehl"/>
          <w:sz w:val="28"/>
          <w:szCs w:val="28"/>
          <w:rtl/>
        </w:rPr>
        <w:t xml:space="preserve"> </w:t>
      </w:r>
      <w:r w:rsidR="00D57F31" w:rsidRPr="001A0B66">
        <w:rPr>
          <w:rFonts w:ascii="FrankRuehl" w:hAnsi="FrankRuehl" w:cs="FrankRuehl"/>
          <w:sz w:val="28"/>
          <w:szCs w:val="28"/>
          <w:rtl/>
        </w:rPr>
        <w:t xml:space="preserve">בירושלים </w:t>
      </w:r>
      <w:r w:rsidR="00730914" w:rsidRPr="001A0B66">
        <w:rPr>
          <w:rFonts w:ascii="FrankRuehl" w:hAnsi="FrankRuehl" w:cs="FrankRuehl"/>
          <w:sz w:val="28"/>
          <w:szCs w:val="28"/>
          <w:rtl/>
        </w:rPr>
        <w:t>ודרוזים</w:t>
      </w:r>
      <w:r w:rsidR="00E32C86" w:rsidRPr="001A0B66">
        <w:rPr>
          <w:rFonts w:ascii="FrankRuehl" w:hAnsi="FrankRuehl" w:cs="FrankRuehl"/>
          <w:sz w:val="28"/>
          <w:szCs w:val="28"/>
          <w:rtl/>
        </w:rPr>
        <w:t xml:space="preserve"> </w:t>
      </w:r>
      <w:r w:rsidR="00D57F31" w:rsidRPr="001A0B66">
        <w:rPr>
          <w:rFonts w:ascii="FrankRuehl" w:hAnsi="FrankRuehl" w:cs="FrankRuehl"/>
          <w:sz w:val="28"/>
          <w:szCs w:val="28"/>
          <w:rtl/>
        </w:rPr>
        <w:t>ב</w:t>
      </w:r>
      <w:r w:rsidR="00730914" w:rsidRPr="001A0B66">
        <w:rPr>
          <w:rFonts w:ascii="FrankRuehl" w:hAnsi="FrankRuehl" w:cs="FrankRuehl"/>
          <w:sz w:val="28"/>
          <w:szCs w:val="28"/>
          <w:rtl/>
        </w:rPr>
        <w:t>רמת הגולן</w:t>
      </w:r>
      <w:r w:rsidR="001F0445" w:rsidRPr="001A0B66">
        <w:rPr>
          <w:rFonts w:ascii="FrankRuehl" w:hAnsi="FrankRuehl" w:cs="FrankRuehl"/>
          <w:sz w:val="28"/>
          <w:szCs w:val="28"/>
          <w:rtl/>
        </w:rPr>
        <w:t>)</w:t>
      </w:r>
      <w:r w:rsidR="002A5EC4" w:rsidRPr="001A0B66">
        <w:rPr>
          <w:rFonts w:ascii="FrankRuehl" w:hAnsi="FrankRuehl" w:cs="FrankRuehl"/>
          <w:sz w:val="28"/>
          <w:szCs w:val="28"/>
          <w:rtl/>
        </w:rPr>
        <w:t>.</w:t>
      </w:r>
      <w:r w:rsidR="002A5EC4" w:rsidRPr="001A0B66">
        <w:rPr>
          <w:rStyle w:val="FootnoteReference"/>
          <w:rFonts w:ascii="FrankRuehl" w:hAnsi="FrankRuehl" w:cs="FrankRuehl"/>
          <w:sz w:val="28"/>
          <w:szCs w:val="28"/>
          <w:rtl/>
        </w:rPr>
        <w:footnoteReference w:id="123"/>
      </w:r>
    </w:p>
    <w:p w14:paraId="5F18960C" w14:textId="77777777" w:rsidR="00C669B7" w:rsidRPr="001A0B66" w:rsidRDefault="00C669B7"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שנית</w:t>
      </w:r>
      <w:r w:rsidR="00F90C44" w:rsidRPr="001A0B66">
        <w:rPr>
          <w:rFonts w:ascii="FrankRuehl" w:hAnsi="FrankRuehl" w:cs="FrankRuehl"/>
          <w:sz w:val="28"/>
          <w:szCs w:val="28"/>
          <w:rtl/>
        </w:rPr>
        <w:t xml:space="preserve">, החקיקה הצבאית בשטחים </w:t>
      </w:r>
      <w:r w:rsidR="0061298C" w:rsidRPr="001A0B66">
        <w:rPr>
          <w:rFonts w:ascii="FrankRuehl" w:hAnsi="FrankRuehl" w:cs="FrankRuehl"/>
          <w:sz w:val="28"/>
          <w:szCs w:val="28"/>
          <w:rtl/>
        </w:rPr>
        <w:t xml:space="preserve">אינה </w:t>
      </w:r>
      <w:r w:rsidR="00F90C44" w:rsidRPr="001A0B66">
        <w:rPr>
          <w:rFonts w:ascii="FrankRuehl" w:hAnsi="FrankRuehl" w:cs="FrankRuehl"/>
          <w:sz w:val="28"/>
          <w:szCs w:val="28"/>
          <w:rtl/>
        </w:rPr>
        <w:t xml:space="preserve">חלה רק על פלסטינים אלא גם על מתיישבים יהודים, ובתחום של מעצרים מנהליים סמכות זו אף מופעלת </w:t>
      </w:r>
      <w:r w:rsidR="0061298C" w:rsidRPr="001A0B66">
        <w:rPr>
          <w:rFonts w:ascii="FrankRuehl" w:hAnsi="FrankRuehl" w:cs="FrankRuehl"/>
          <w:sz w:val="28"/>
          <w:szCs w:val="28"/>
          <w:rtl/>
        </w:rPr>
        <w:t>על מתיישבים באמצעות</w:t>
      </w:r>
      <w:r w:rsidR="00F90C44" w:rsidRPr="001A0B66">
        <w:rPr>
          <w:rFonts w:ascii="FrankRuehl" w:hAnsi="FrankRuehl" w:cs="FrankRuehl"/>
          <w:sz w:val="28"/>
          <w:szCs w:val="28"/>
          <w:rtl/>
        </w:rPr>
        <w:t xml:space="preserve"> צווים של המפקד הצבאי.</w:t>
      </w:r>
      <w:r w:rsidR="00257E71" w:rsidRPr="001A0B66">
        <w:rPr>
          <w:rStyle w:val="FootnoteReference"/>
          <w:rFonts w:ascii="FrankRuehl" w:hAnsi="FrankRuehl" w:cs="FrankRuehl"/>
          <w:sz w:val="28"/>
          <w:szCs w:val="28"/>
          <w:rtl/>
        </w:rPr>
        <w:footnoteReference w:id="124"/>
      </w:r>
      <w:r w:rsidR="00257E71" w:rsidRPr="001A0B66">
        <w:rPr>
          <w:rFonts w:ascii="FrankRuehl" w:hAnsi="FrankRuehl" w:cs="FrankRuehl"/>
          <w:sz w:val="28"/>
          <w:szCs w:val="28"/>
          <w:rtl/>
        </w:rPr>
        <w:t xml:space="preserve"> </w:t>
      </w:r>
      <w:r w:rsidR="00F90C44" w:rsidRPr="001A0B66">
        <w:rPr>
          <w:rFonts w:ascii="FrankRuehl" w:hAnsi="FrankRuehl" w:cs="FrankRuehl"/>
          <w:sz w:val="28"/>
          <w:szCs w:val="28"/>
          <w:rtl/>
        </w:rPr>
        <w:t xml:space="preserve">לפי ההסדר המוצע בהצעת החוק, גם יהודים בשטחים הנתונים למעצר מנהלי לפי צו צבאי לא יזכו להגנת סנגור מיוחד. </w:t>
      </w:r>
      <w:r w:rsidR="00F25F6F" w:rsidRPr="001A0B66">
        <w:rPr>
          <w:rFonts w:ascii="FrankRuehl" w:hAnsi="FrankRuehl" w:cs="FrankRuehl"/>
          <w:sz w:val="28"/>
          <w:szCs w:val="28"/>
          <w:rtl/>
        </w:rPr>
        <w:t xml:space="preserve">אולם </w:t>
      </w:r>
      <w:r w:rsidR="00F90C44" w:rsidRPr="001A0B66">
        <w:rPr>
          <w:rFonts w:ascii="FrankRuehl" w:hAnsi="FrankRuehl" w:cs="FrankRuehl"/>
          <w:sz w:val="28"/>
          <w:szCs w:val="28"/>
          <w:rtl/>
        </w:rPr>
        <w:t>פעמים רבות</w:t>
      </w:r>
      <w:r w:rsidR="0061298C" w:rsidRPr="001A0B66">
        <w:rPr>
          <w:rFonts w:ascii="FrankRuehl" w:hAnsi="FrankRuehl" w:cs="FrankRuehl"/>
          <w:sz w:val="28"/>
          <w:szCs w:val="28"/>
          <w:rtl/>
        </w:rPr>
        <w:t xml:space="preserve"> מוחלת</w:t>
      </w:r>
      <w:r w:rsidR="00F90C44" w:rsidRPr="001A0B66">
        <w:rPr>
          <w:rFonts w:ascii="FrankRuehl" w:hAnsi="FrankRuehl" w:cs="FrankRuehl"/>
          <w:sz w:val="28"/>
          <w:szCs w:val="28"/>
          <w:rtl/>
        </w:rPr>
        <w:t xml:space="preserve"> חקיקת הכנסת על </w:t>
      </w:r>
      <w:r w:rsidR="00F90C44" w:rsidRPr="001A0B66">
        <w:rPr>
          <w:rFonts w:ascii="FrankRuehl" w:hAnsi="FrankRuehl" w:cs="FrankRuehl"/>
          <w:sz w:val="28"/>
          <w:szCs w:val="28"/>
          <w:rtl/>
        </w:rPr>
        <w:lastRenderedPageBreak/>
        <w:t>המתיישבים היהודים בשטחים באמצעות צווים של המפקד הצבאי או ישירות, ו</w:t>
      </w:r>
      <w:r w:rsidR="0061298C" w:rsidRPr="001A0B66">
        <w:rPr>
          <w:rFonts w:ascii="FrankRuehl" w:hAnsi="FrankRuehl" w:cs="FrankRuehl"/>
          <w:sz w:val="28"/>
          <w:szCs w:val="28"/>
          <w:rtl/>
        </w:rPr>
        <w:t>רב</w:t>
      </w:r>
      <w:r w:rsidR="00F90C44" w:rsidRPr="001A0B66">
        <w:rPr>
          <w:rFonts w:ascii="FrankRuehl" w:hAnsi="FrankRuehl" w:cs="FrankRuehl"/>
          <w:sz w:val="28"/>
          <w:szCs w:val="28"/>
          <w:rtl/>
        </w:rPr>
        <w:t xml:space="preserve"> </w:t>
      </w:r>
      <w:r w:rsidR="0061298C" w:rsidRPr="001A0B66">
        <w:rPr>
          <w:rFonts w:ascii="FrankRuehl" w:hAnsi="FrankRuehl" w:cs="FrankRuehl"/>
          <w:sz w:val="28"/>
          <w:szCs w:val="28"/>
          <w:rtl/>
        </w:rPr>
        <w:t>ה</w:t>
      </w:r>
      <w:r w:rsidR="00F90C44" w:rsidRPr="001A0B66">
        <w:rPr>
          <w:rFonts w:ascii="FrankRuehl" w:hAnsi="FrankRuehl" w:cs="FrankRuehl"/>
          <w:sz w:val="28"/>
          <w:szCs w:val="28"/>
          <w:rtl/>
        </w:rPr>
        <w:t>סיכוי שכך יקרה גם עם הצעת החוק.</w:t>
      </w:r>
      <w:r w:rsidR="00257E71" w:rsidRPr="001A0B66">
        <w:rPr>
          <w:rStyle w:val="FootnoteReference"/>
          <w:rFonts w:ascii="FrankRuehl" w:hAnsi="FrankRuehl" w:cs="FrankRuehl"/>
          <w:sz w:val="28"/>
          <w:szCs w:val="28"/>
          <w:rtl/>
        </w:rPr>
        <w:footnoteReference w:id="125"/>
      </w:r>
      <w:r w:rsidR="00F90C44" w:rsidRPr="001A0B66">
        <w:rPr>
          <w:rFonts w:ascii="FrankRuehl" w:hAnsi="FrankRuehl" w:cs="FrankRuehl"/>
          <w:sz w:val="28"/>
          <w:szCs w:val="28"/>
          <w:rtl/>
        </w:rPr>
        <w:t xml:space="preserve"> אם</w:t>
      </w:r>
      <w:r w:rsidR="00F25F6F" w:rsidRPr="001A0B66">
        <w:rPr>
          <w:rFonts w:ascii="FrankRuehl" w:hAnsi="FrankRuehl" w:cs="FrankRuehl"/>
          <w:sz w:val="28"/>
          <w:szCs w:val="28"/>
          <w:rtl/>
        </w:rPr>
        <w:t xml:space="preserve"> אכן</w:t>
      </w:r>
      <w:r w:rsidR="00F90C44" w:rsidRPr="001A0B66">
        <w:rPr>
          <w:rFonts w:ascii="FrankRuehl" w:hAnsi="FrankRuehl" w:cs="FrankRuehl"/>
          <w:sz w:val="28"/>
          <w:szCs w:val="28"/>
          <w:rtl/>
        </w:rPr>
        <w:t xml:space="preserve"> כך יקרה, </w:t>
      </w:r>
      <w:r w:rsidR="00F25F6F" w:rsidRPr="001A0B66">
        <w:rPr>
          <w:rFonts w:ascii="FrankRuehl" w:hAnsi="FrankRuehl" w:cs="FrankRuehl"/>
          <w:sz w:val="28"/>
          <w:szCs w:val="28"/>
          <w:rtl/>
        </w:rPr>
        <w:t xml:space="preserve">אזי </w:t>
      </w:r>
      <w:r w:rsidR="00F90C44" w:rsidRPr="001A0B66">
        <w:rPr>
          <w:rFonts w:ascii="FrankRuehl" w:hAnsi="FrankRuehl" w:cs="FrankRuehl"/>
          <w:sz w:val="28"/>
          <w:szCs w:val="28"/>
          <w:rtl/>
        </w:rPr>
        <w:t xml:space="preserve">הסדר עורכי הדין המיוחדים יחול בישראל ועל המתיישבים </w:t>
      </w:r>
      <w:r w:rsidR="00F25F6F" w:rsidRPr="001A0B66">
        <w:rPr>
          <w:rFonts w:ascii="FrankRuehl" w:hAnsi="FrankRuehl" w:cs="FrankRuehl"/>
          <w:sz w:val="28"/>
          <w:szCs w:val="28"/>
          <w:rtl/>
        </w:rPr>
        <w:t xml:space="preserve">היהודים </w:t>
      </w:r>
      <w:r w:rsidR="00F90C44" w:rsidRPr="001A0B66">
        <w:rPr>
          <w:rFonts w:ascii="FrankRuehl" w:hAnsi="FrankRuehl" w:cs="FrankRuehl"/>
          <w:sz w:val="28"/>
          <w:szCs w:val="28"/>
          <w:rtl/>
        </w:rPr>
        <w:t>בשטחים, אך לא יחול על הפלסטינים</w:t>
      </w:r>
      <w:r w:rsidR="00A0287D" w:rsidRPr="001A0B66">
        <w:rPr>
          <w:rFonts w:ascii="FrankRuehl" w:hAnsi="FrankRuehl" w:cs="FrankRuehl"/>
          <w:sz w:val="28"/>
          <w:szCs w:val="28"/>
          <w:rtl/>
        </w:rPr>
        <w:t xml:space="preserve"> בשטחים</w:t>
      </w:r>
      <w:r w:rsidR="00F90C44" w:rsidRPr="001A0B66">
        <w:rPr>
          <w:rFonts w:ascii="FrankRuehl" w:hAnsi="FrankRuehl" w:cs="FrankRuehl"/>
          <w:sz w:val="28"/>
          <w:szCs w:val="28"/>
          <w:rtl/>
        </w:rPr>
        <w:t>. זו תהא בחירה בעייתית מא</w:t>
      </w:r>
      <w:r w:rsidR="00704948" w:rsidRPr="001A0B66">
        <w:rPr>
          <w:rFonts w:ascii="FrankRuehl" w:hAnsi="FrankRuehl" w:cs="FrankRuehl"/>
          <w:sz w:val="28"/>
          <w:szCs w:val="28"/>
          <w:rtl/>
        </w:rPr>
        <w:t>ו</w:t>
      </w:r>
      <w:r w:rsidR="00F90C44" w:rsidRPr="001A0B66">
        <w:rPr>
          <w:rFonts w:ascii="FrankRuehl" w:hAnsi="FrankRuehl" w:cs="FrankRuehl"/>
          <w:sz w:val="28"/>
          <w:szCs w:val="28"/>
          <w:rtl/>
        </w:rPr>
        <w:t>ד, שתעמיק עוד יותר קושי יסודי של הכיבוש: הפעלתה</w:t>
      </w:r>
      <w:r w:rsidR="00F25F6F" w:rsidRPr="001A0B66">
        <w:rPr>
          <w:rFonts w:ascii="FrankRuehl" w:hAnsi="FrankRuehl" w:cs="FrankRuehl"/>
          <w:sz w:val="28"/>
          <w:szCs w:val="28"/>
          <w:rtl/>
        </w:rPr>
        <w:t xml:space="preserve"> </w:t>
      </w:r>
      <w:r w:rsidR="00F90C44" w:rsidRPr="001A0B66">
        <w:rPr>
          <w:rFonts w:ascii="FrankRuehl" w:hAnsi="FrankRuehl" w:cs="FrankRuehl"/>
          <w:sz w:val="28"/>
          <w:szCs w:val="28"/>
          <w:rtl/>
        </w:rPr>
        <w:t xml:space="preserve">של מערכת נורמות כפולה ומפלה על בני אדם המתגוררים ביחידת שטח אחת, על יסוד מעמדם האזרחי ובפועל על יסוד לאומיותם. </w:t>
      </w:r>
    </w:p>
    <w:p w14:paraId="4D412EFD" w14:textId="77777777" w:rsidR="00DA5CAB" w:rsidRPr="001A0B66" w:rsidRDefault="00F25F6F"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מכיוון ש</w:t>
      </w:r>
      <w:r w:rsidR="00D86368" w:rsidRPr="001A0B66">
        <w:rPr>
          <w:rFonts w:ascii="FrankRuehl" w:hAnsi="FrankRuehl" w:cs="FrankRuehl"/>
          <w:sz w:val="28"/>
          <w:szCs w:val="28"/>
          <w:rtl/>
        </w:rPr>
        <w:t xml:space="preserve">כאמור, </w:t>
      </w:r>
      <w:r w:rsidR="007F6A35" w:rsidRPr="001A0B66">
        <w:rPr>
          <w:rFonts w:ascii="FrankRuehl" w:hAnsi="FrankRuehl" w:cs="FrankRuehl"/>
          <w:sz w:val="28"/>
          <w:szCs w:val="28"/>
          <w:rtl/>
        </w:rPr>
        <w:t xml:space="preserve">אזרחים </w:t>
      </w:r>
      <w:r w:rsidR="00DA5CAB" w:rsidRPr="001A0B66">
        <w:rPr>
          <w:rFonts w:ascii="FrankRuehl" w:hAnsi="FrankRuehl" w:cs="FrankRuehl"/>
          <w:sz w:val="28"/>
          <w:szCs w:val="28"/>
          <w:rtl/>
        </w:rPr>
        <w:t xml:space="preserve">ישראלים המתגוררים בשטחים כפופים </w:t>
      </w:r>
      <w:r w:rsidRPr="001A0B66">
        <w:rPr>
          <w:rFonts w:ascii="FrankRuehl" w:hAnsi="FrankRuehl" w:cs="FrankRuehl"/>
          <w:sz w:val="28"/>
          <w:szCs w:val="28"/>
          <w:rtl/>
        </w:rPr>
        <w:t>הן ל</w:t>
      </w:r>
      <w:r w:rsidR="00DA5CAB" w:rsidRPr="001A0B66">
        <w:rPr>
          <w:rFonts w:ascii="FrankRuehl" w:hAnsi="FrankRuehl" w:cs="FrankRuehl"/>
          <w:sz w:val="28"/>
          <w:szCs w:val="28"/>
          <w:rtl/>
        </w:rPr>
        <w:t>חקיקה הצבאית בשטחים החלה על פלסטינים ו</w:t>
      </w:r>
      <w:r w:rsidRPr="001A0B66">
        <w:rPr>
          <w:rFonts w:ascii="FrankRuehl" w:hAnsi="FrankRuehl" w:cs="FrankRuehl"/>
          <w:sz w:val="28"/>
          <w:szCs w:val="28"/>
          <w:rtl/>
        </w:rPr>
        <w:t>הן</w:t>
      </w:r>
      <w:r w:rsidR="00DA5CAB" w:rsidRPr="001A0B66">
        <w:rPr>
          <w:rFonts w:ascii="FrankRuehl" w:hAnsi="FrankRuehl" w:cs="FrankRuehl"/>
          <w:sz w:val="28"/>
          <w:szCs w:val="28"/>
          <w:rtl/>
        </w:rPr>
        <w:t xml:space="preserve"> לחוק הישראלי</w:t>
      </w:r>
      <w:r w:rsidRPr="001A0B66">
        <w:rPr>
          <w:rFonts w:ascii="FrankRuehl" w:hAnsi="FrankRuehl" w:cs="FrankRuehl"/>
          <w:sz w:val="28"/>
          <w:szCs w:val="28"/>
          <w:rtl/>
        </w:rPr>
        <w:t>,</w:t>
      </w:r>
      <w:r w:rsidR="00DA5CAB" w:rsidRPr="001A0B66">
        <w:rPr>
          <w:rFonts w:ascii="FrankRuehl" w:hAnsi="FrankRuehl" w:cs="FrankRuehl"/>
          <w:sz w:val="28"/>
          <w:szCs w:val="28"/>
          <w:rtl/>
        </w:rPr>
        <w:t xml:space="preserve"> לרשויות </w:t>
      </w:r>
      <w:r w:rsidRPr="001A0B66">
        <w:rPr>
          <w:rFonts w:ascii="FrankRuehl" w:hAnsi="FrankRuehl" w:cs="FrankRuehl"/>
          <w:sz w:val="28"/>
          <w:szCs w:val="28"/>
          <w:rtl/>
        </w:rPr>
        <w:t>נתונה ה</w:t>
      </w:r>
      <w:r w:rsidR="00DA5CAB" w:rsidRPr="001A0B66">
        <w:rPr>
          <w:rFonts w:ascii="FrankRuehl" w:hAnsi="FrankRuehl" w:cs="FrankRuehl"/>
          <w:sz w:val="28"/>
          <w:szCs w:val="28"/>
          <w:rtl/>
        </w:rPr>
        <w:t xml:space="preserve">בחירה אם להוציא צו מעצר מנהלי נגד ישראלי תושב השטחים </w:t>
      </w:r>
      <w:r w:rsidRPr="001A0B66">
        <w:rPr>
          <w:rFonts w:ascii="FrankRuehl" w:hAnsi="FrankRuehl" w:cs="FrankRuehl"/>
          <w:sz w:val="28"/>
          <w:szCs w:val="28"/>
          <w:rtl/>
        </w:rPr>
        <w:t xml:space="preserve">מכוח </w:t>
      </w:r>
      <w:r w:rsidR="00DA5CAB" w:rsidRPr="001A0B66">
        <w:rPr>
          <w:rFonts w:ascii="FrankRuehl" w:hAnsi="FrankRuehl" w:cs="FrankRuehl"/>
          <w:sz w:val="28"/>
          <w:szCs w:val="28"/>
          <w:rtl/>
        </w:rPr>
        <w:t xml:space="preserve">חקיקה צבאית או </w:t>
      </w:r>
      <w:r w:rsidRPr="001A0B66">
        <w:rPr>
          <w:rFonts w:ascii="FrankRuehl" w:hAnsi="FrankRuehl" w:cs="FrankRuehl"/>
          <w:sz w:val="28"/>
          <w:szCs w:val="28"/>
          <w:rtl/>
        </w:rPr>
        <w:t xml:space="preserve">מכוח </w:t>
      </w:r>
      <w:r w:rsidR="00DA5CAB" w:rsidRPr="001A0B66">
        <w:rPr>
          <w:rFonts w:ascii="FrankRuehl" w:hAnsi="FrankRuehl" w:cs="FrankRuehl"/>
          <w:sz w:val="28"/>
          <w:szCs w:val="28"/>
          <w:rtl/>
        </w:rPr>
        <w:t>חקיקה אזרחית בישראל</w:t>
      </w:r>
      <w:r w:rsidRPr="001A0B66">
        <w:rPr>
          <w:rFonts w:ascii="FrankRuehl" w:hAnsi="FrankRuehl" w:cs="FrankRuehl"/>
          <w:sz w:val="28"/>
          <w:szCs w:val="28"/>
          <w:rtl/>
        </w:rPr>
        <w:t>;</w:t>
      </w:r>
      <w:r w:rsidR="00DA5CAB" w:rsidRPr="001A0B66">
        <w:rPr>
          <w:rFonts w:ascii="FrankRuehl" w:hAnsi="FrankRuehl" w:cs="FrankRuehl"/>
          <w:sz w:val="28"/>
          <w:szCs w:val="28"/>
          <w:rtl/>
        </w:rPr>
        <w:t xml:space="preserve"> </w:t>
      </w:r>
      <w:r w:rsidRPr="001A0B66">
        <w:rPr>
          <w:rFonts w:ascii="FrankRuehl" w:hAnsi="FrankRuehl" w:cs="FrankRuehl"/>
          <w:sz w:val="28"/>
          <w:szCs w:val="28"/>
          <w:rtl/>
        </w:rPr>
        <w:t xml:space="preserve">לכן </w:t>
      </w:r>
      <w:r w:rsidR="00DA5CAB" w:rsidRPr="001A0B66">
        <w:rPr>
          <w:rFonts w:ascii="FrankRuehl" w:hAnsi="FrankRuehl" w:cs="FrankRuehl"/>
          <w:sz w:val="28"/>
          <w:szCs w:val="28"/>
          <w:rtl/>
        </w:rPr>
        <w:t>צ</w:t>
      </w:r>
      <w:r w:rsidR="00383FBF" w:rsidRPr="001A0B66">
        <w:rPr>
          <w:rFonts w:ascii="FrankRuehl" w:hAnsi="FrankRuehl" w:cs="FrankRuehl"/>
          <w:sz w:val="28"/>
          <w:szCs w:val="28"/>
          <w:rtl/>
        </w:rPr>
        <w:t>ו</w:t>
      </w:r>
      <w:r w:rsidR="00DA5CAB" w:rsidRPr="001A0B66">
        <w:rPr>
          <w:rFonts w:ascii="FrankRuehl" w:hAnsi="FrankRuehl" w:cs="FrankRuehl"/>
          <w:sz w:val="28"/>
          <w:szCs w:val="28"/>
          <w:rtl/>
        </w:rPr>
        <w:t>וי מעצר מנהלי והגבלה נגד ישראלים</w:t>
      </w:r>
      <w:r w:rsidRPr="001A0B66">
        <w:rPr>
          <w:rFonts w:ascii="FrankRuehl" w:hAnsi="FrankRuehl" w:cs="FrankRuehl"/>
          <w:sz w:val="28"/>
          <w:szCs w:val="28"/>
          <w:rtl/>
        </w:rPr>
        <w:t xml:space="preserve"> מוצאים לעיתים מכוח</w:t>
      </w:r>
      <w:r w:rsidR="00DA5CAB" w:rsidRPr="001A0B66">
        <w:rPr>
          <w:rFonts w:ascii="FrankRuehl" w:hAnsi="FrankRuehl" w:cs="FrankRuehl"/>
          <w:sz w:val="28"/>
          <w:szCs w:val="28"/>
          <w:rtl/>
        </w:rPr>
        <w:t xml:space="preserve"> חקיקה צבאית.</w:t>
      </w:r>
      <w:r w:rsidR="00DA5CAB" w:rsidRPr="001A0B66">
        <w:rPr>
          <w:rStyle w:val="FootnoteReference"/>
          <w:rFonts w:ascii="FrankRuehl" w:hAnsi="FrankRuehl" w:cs="FrankRuehl"/>
          <w:sz w:val="28"/>
          <w:szCs w:val="28"/>
          <w:rtl/>
        </w:rPr>
        <w:footnoteReference w:id="126"/>
      </w:r>
      <w:r w:rsidR="00DA5CAB" w:rsidRPr="001A0B66">
        <w:rPr>
          <w:rFonts w:ascii="FrankRuehl" w:hAnsi="FrankRuehl" w:cs="FrankRuehl"/>
          <w:sz w:val="28"/>
          <w:szCs w:val="28"/>
          <w:rtl/>
        </w:rPr>
        <w:t xml:space="preserve"> </w:t>
      </w:r>
      <w:r w:rsidR="001F5E1C" w:rsidRPr="001A0B66">
        <w:rPr>
          <w:rFonts w:ascii="FrankRuehl" w:hAnsi="FrankRuehl" w:cs="FrankRuehl"/>
          <w:sz w:val="28"/>
          <w:szCs w:val="28"/>
          <w:rtl/>
        </w:rPr>
        <w:t xml:space="preserve">אם תתקבל הצעת החוק </w:t>
      </w:r>
      <w:r w:rsidR="00BA200C" w:rsidRPr="001A0B66">
        <w:rPr>
          <w:rFonts w:ascii="FrankRuehl" w:hAnsi="FrankRuehl" w:cs="FrankRuehl"/>
          <w:sz w:val="28"/>
          <w:szCs w:val="28"/>
          <w:rtl/>
        </w:rPr>
        <w:t xml:space="preserve">של חברי הכנסת </w:t>
      </w:r>
      <w:r w:rsidR="001F5E1C" w:rsidRPr="001A0B66">
        <w:rPr>
          <w:rFonts w:ascii="FrankRuehl" w:hAnsi="FrankRuehl" w:cs="FrankRuehl"/>
          <w:sz w:val="28"/>
          <w:szCs w:val="28"/>
          <w:rtl/>
        </w:rPr>
        <w:t>בנוסחה הנוכחי</w:t>
      </w:r>
      <w:r w:rsidR="00D86368" w:rsidRPr="001A0B66">
        <w:rPr>
          <w:rFonts w:ascii="FrankRuehl" w:hAnsi="FrankRuehl" w:cs="FrankRuehl"/>
          <w:sz w:val="28"/>
          <w:szCs w:val="28"/>
          <w:rtl/>
        </w:rPr>
        <w:t xml:space="preserve"> תהיה </w:t>
      </w:r>
      <w:r w:rsidR="001F5E1C" w:rsidRPr="001A0B66">
        <w:rPr>
          <w:rFonts w:ascii="FrankRuehl" w:hAnsi="FrankRuehl" w:cs="FrankRuehl"/>
          <w:sz w:val="28"/>
          <w:szCs w:val="28"/>
          <w:rtl/>
        </w:rPr>
        <w:t>לשיקול דעת זה משמעות נוספת</w:t>
      </w:r>
      <w:r w:rsidR="00383FBF" w:rsidRPr="001A0B66">
        <w:rPr>
          <w:rFonts w:ascii="FrankRuehl" w:hAnsi="FrankRuehl" w:cs="FrankRuehl"/>
          <w:sz w:val="28"/>
          <w:szCs w:val="28"/>
          <w:rtl/>
        </w:rPr>
        <w:t>,</w:t>
      </w:r>
      <w:r w:rsidR="001F5E1C" w:rsidRPr="001A0B66">
        <w:rPr>
          <w:rFonts w:ascii="FrankRuehl" w:hAnsi="FrankRuehl" w:cs="FrankRuehl"/>
          <w:sz w:val="28"/>
          <w:szCs w:val="28"/>
          <w:rtl/>
        </w:rPr>
        <w:t xml:space="preserve"> והיא שישראלים המתגוררים בגדה המערבית יזכו להגנה של עורך דין מיוחד במקרה של הפעלה</w:t>
      </w:r>
      <w:r w:rsidR="00873FE5" w:rsidRPr="001A0B66">
        <w:rPr>
          <w:rFonts w:ascii="FrankRuehl" w:hAnsi="FrankRuehl" w:cs="FrankRuehl"/>
          <w:sz w:val="28"/>
          <w:szCs w:val="28"/>
          <w:rtl/>
        </w:rPr>
        <w:t xml:space="preserve"> סמכות</w:t>
      </w:r>
      <w:r w:rsidR="001F5E1C" w:rsidRPr="001A0B66">
        <w:rPr>
          <w:rFonts w:ascii="FrankRuehl" w:hAnsi="FrankRuehl" w:cs="FrankRuehl"/>
          <w:sz w:val="28"/>
          <w:szCs w:val="28"/>
          <w:rtl/>
        </w:rPr>
        <w:t xml:space="preserve"> הנשענת על ראיות חסויות רק אם הצו </w:t>
      </w:r>
      <w:r w:rsidR="00D86368" w:rsidRPr="001A0B66">
        <w:rPr>
          <w:rFonts w:ascii="FrankRuehl" w:hAnsi="FrankRuehl" w:cs="FrankRuehl"/>
          <w:sz w:val="28"/>
          <w:szCs w:val="28"/>
          <w:rtl/>
        </w:rPr>
        <w:t>נגדם ה</w:t>
      </w:r>
      <w:r w:rsidR="001F5E1C" w:rsidRPr="001A0B66">
        <w:rPr>
          <w:rFonts w:ascii="FrankRuehl" w:hAnsi="FrankRuehl" w:cs="FrankRuehl"/>
          <w:sz w:val="28"/>
          <w:szCs w:val="28"/>
          <w:rtl/>
        </w:rPr>
        <w:t xml:space="preserve">וצא </w:t>
      </w:r>
      <w:r w:rsidR="00D86368" w:rsidRPr="001A0B66">
        <w:rPr>
          <w:rFonts w:ascii="FrankRuehl" w:hAnsi="FrankRuehl" w:cs="FrankRuehl"/>
          <w:sz w:val="28"/>
          <w:szCs w:val="28"/>
          <w:rtl/>
        </w:rPr>
        <w:t xml:space="preserve">מכוח </w:t>
      </w:r>
      <w:r w:rsidR="001F5E1C" w:rsidRPr="001A0B66">
        <w:rPr>
          <w:rFonts w:ascii="FrankRuehl" w:hAnsi="FrankRuehl" w:cs="FrankRuehl"/>
          <w:sz w:val="28"/>
          <w:szCs w:val="28"/>
          <w:rtl/>
        </w:rPr>
        <w:t xml:space="preserve">החוק הישראלי, ולא יזכו להגנה כזו אם הצו </w:t>
      </w:r>
      <w:r w:rsidR="00D86368" w:rsidRPr="001A0B66">
        <w:rPr>
          <w:rFonts w:ascii="FrankRuehl" w:hAnsi="FrankRuehl" w:cs="FrankRuehl"/>
          <w:sz w:val="28"/>
          <w:szCs w:val="28"/>
          <w:rtl/>
        </w:rPr>
        <w:t>ה</w:t>
      </w:r>
      <w:r w:rsidR="001F5E1C" w:rsidRPr="001A0B66">
        <w:rPr>
          <w:rFonts w:ascii="FrankRuehl" w:hAnsi="FrankRuehl" w:cs="FrankRuehl"/>
          <w:sz w:val="28"/>
          <w:szCs w:val="28"/>
          <w:rtl/>
        </w:rPr>
        <w:t xml:space="preserve">וצא </w:t>
      </w:r>
      <w:r w:rsidR="00D86368" w:rsidRPr="001A0B66">
        <w:rPr>
          <w:rFonts w:ascii="FrankRuehl" w:hAnsi="FrankRuehl" w:cs="FrankRuehl"/>
          <w:sz w:val="28"/>
          <w:szCs w:val="28"/>
          <w:rtl/>
        </w:rPr>
        <w:t xml:space="preserve">מכוח </w:t>
      </w:r>
      <w:r w:rsidR="001F5E1C" w:rsidRPr="001A0B66">
        <w:rPr>
          <w:rFonts w:ascii="FrankRuehl" w:hAnsi="FrankRuehl" w:cs="FrankRuehl"/>
          <w:sz w:val="28"/>
          <w:szCs w:val="28"/>
          <w:rtl/>
        </w:rPr>
        <w:t xml:space="preserve">חקיקה צבאית. </w:t>
      </w:r>
      <w:r w:rsidR="00D86368" w:rsidRPr="001A0B66">
        <w:rPr>
          <w:rFonts w:ascii="FrankRuehl" w:hAnsi="FrankRuehl" w:cs="FrankRuehl"/>
          <w:sz w:val="28"/>
          <w:szCs w:val="28"/>
          <w:rtl/>
        </w:rPr>
        <w:t xml:space="preserve">אם כן, בנוסחו הקיים ועל יסוד הפרקטיקה הנזכרת, </w:t>
      </w:r>
      <w:r w:rsidR="001F5E1C" w:rsidRPr="001A0B66">
        <w:rPr>
          <w:rFonts w:ascii="FrankRuehl" w:hAnsi="FrankRuehl" w:cs="FrankRuehl"/>
          <w:sz w:val="28"/>
          <w:szCs w:val="28"/>
          <w:rtl/>
        </w:rPr>
        <w:t>החוק המוצע</w:t>
      </w:r>
      <w:r w:rsidR="003B1978">
        <w:rPr>
          <w:rFonts w:ascii="FrankRuehl" w:hAnsi="FrankRuehl" w:cs="FrankRuehl"/>
          <w:sz w:val="28"/>
          <w:szCs w:val="28"/>
          <w:rtl/>
        </w:rPr>
        <w:t>, על הסדר עורכי הדין המיוחדים שבו,</w:t>
      </w:r>
      <w:r w:rsidR="001F5E1C" w:rsidRPr="001A0B66">
        <w:rPr>
          <w:rFonts w:ascii="FrankRuehl" w:hAnsi="FrankRuehl" w:cs="FrankRuehl"/>
          <w:sz w:val="28"/>
          <w:szCs w:val="28"/>
          <w:rtl/>
        </w:rPr>
        <w:t xml:space="preserve"> </w:t>
      </w:r>
      <w:r w:rsidR="00737A27" w:rsidRPr="001A0B66">
        <w:rPr>
          <w:rFonts w:ascii="FrankRuehl" w:hAnsi="FrankRuehl" w:cs="FrankRuehl"/>
          <w:sz w:val="28"/>
          <w:szCs w:val="28"/>
          <w:rtl/>
        </w:rPr>
        <w:t>יחול</w:t>
      </w:r>
      <w:r w:rsidR="007F6A35" w:rsidRPr="001A0B66">
        <w:rPr>
          <w:rFonts w:ascii="FrankRuehl" w:hAnsi="FrankRuehl" w:cs="FrankRuehl"/>
          <w:sz w:val="28"/>
          <w:szCs w:val="28"/>
          <w:rtl/>
        </w:rPr>
        <w:t xml:space="preserve"> </w:t>
      </w:r>
      <w:r w:rsidR="001F5E1C" w:rsidRPr="001A0B66">
        <w:rPr>
          <w:rFonts w:ascii="FrankRuehl" w:hAnsi="FrankRuehl" w:cs="FrankRuehl"/>
          <w:sz w:val="28"/>
          <w:szCs w:val="28"/>
          <w:rtl/>
        </w:rPr>
        <w:t xml:space="preserve">על מספר מוגבל ושרירותי של הליכים נגד </w:t>
      </w:r>
      <w:r w:rsidR="00660357" w:rsidRPr="001A0B66">
        <w:rPr>
          <w:rFonts w:ascii="FrankRuehl" w:hAnsi="FrankRuehl" w:cs="FrankRuehl"/>
          <w:sz w:val="28"/>
          <w:szCs w:val="28"/>
          <w:rtl/>
        </w:rPr>
        <w:t xml:space="preserve">אזרחי </w:t>
      </w:r>
      <w:r w:rsidR="001F5E1C" w:rsidRPr="001A0B66">
        <w:rPr>
          <w:rFonts w:ascii="FrankRuehl" w:hAnsi="FrankRuehl" w:cs="FrankRuehl"/>
          <w:sz w:val="28"/>
          <w:szCs w:val="28"/>
          <w:rtl/>
        </w:rPr>
        <w:t>ישראל</w:t>
      </w:r>
      <w:r w:rsidR="00737A27" w:rsidRPr="001A0B66">
        <w:rPr>
          <w:rFonts w:ascii="FrankRuehl" w:hAnsi="FrankRuehl" w:cs="FrankRuehl"/>
          <w:sz w:val="28"/>
          <w:szCs w:val="28"/>
          <w:rtl/>
        </w:rPr>
        <w:t xml:space="preserve"> החיים בשטחים</w:t>
      </w:r>
      <w:r w:rsidR="001F5E1C" w:rsidRPr="001A0B66">
        <w:rPr>
          <w:rFonts w:ascii="FrankRuehl" w:hAnsi="FrankRuehl" w:cs="FrankRuehl"/>
          <w:sz w:val="28"/>
          <w:szCs w:val="28"/>
          <w:rtl/>
        </w:rPr>
        <w:t>.</w:t>
      </w:r>
      <w:r w:rsidR="009A6851" w:rsidRPr="001A0B66">
        <w:rPr>
          <w:rFonts w:ascii="FrankRuehl" w:hAnsi="FrankRuehl" w:cs="FrankRuehl"/>
          <w:sz w:val="28"/>
          <w:szCs w:val="28"/>
          <w:rtl/>
        </w:rPr>
        <w:t xml:space="preserve"> </w:t>
      </w:r>
    </w:p>
    <w:p w14:paraId="58B47793" w14:textId="77777777" w:rsidR="00D86368" w:rsidRPr="001A0B66" w:rsidRDefault="00383FBF"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מערכת המשפט שמפעילה ישראל בשטחים נשלטת </w:t>
      </w:r>
      <w:r w:rsidR="00D86368" w:rsidRPr="001A0B66">
        <w:rPr>
          <w:rFonts w:ascii="FrankRuehl" w:hAnsi="FrankRuehl" w:cs="FrankRuehl"/>
          <w:sz w:val="28"/>
          <w:szCs w:val="28"/>
          <w:rtl/>
        </w:rPr>
        <w:t>ב</w:t>
      </w:r>
      <w:r w:rsidRPr="001A0B66">
        <w:rPr>
          <w:rFonts w:ascii="FrankRuehl" w:hAnsi="FrankRuehl" w:cs="FrankRuehl"/>
          <w:sz w:val="28"/>
          <w:szCs w:val="28"/>
          <w:rtl/>
        </w:rPr>
        <w:t>ידי הצבא</w:t>
      </w:r>
      <w:r w:rsidR="00D86368" w:rsidRPr="001A0B66">
        <w:rPr>
          <w:rFonts w:ascii="FrankRuehl" w:hAnsi="FrankRuehl" w:cs="FrankRuehl"/>
          <w:sz w:val="28"/>
          <w:szCs w:val="28"/>
          <w:rtl/>
        </w:rPr>
        <w:t>;</w:t>
      </w:r>
      <w:r w:rsidRPr="001A0B66">
        <w:rPr>
          <w:rFonts w:ascii="FrankRuehl" w:hAnsi="FrankRuehl" w:cs="FrankRuehl"/>
          <w:sz w:val="28"/>
          <w:szCs w:val="28"/>
          <w:rtl/>
        </w:rPr>
        <w:t xml:space="preserve"> המפקד הצבאי הוא בו-</w:t>
      </w:r>
      <w:r w:rsidR="00D86368" w:rsidRPr="001A0B66">
        <w:rPr>
          <w:rFonts w:ascii="FrankRuehl" w:hAnsi="FrankRuehl" w:cs="FrankRuehl"/>
          <w:sz w:val="28"/>
          <w:szCs w:val="28"/>
          <w:rtl/>
        </w:rPr>
        <w:t>ב</w:t>
      </w:r>
      <w:r w:rsidRPr="001A0B66">
        <w:rPr>
          <w:rFonts w:ascii="FrankRuehl" w:hAnsi="FrankRuehl" w:cs="FrankRuehl"/>
          <w:sz w:val="28"/>
          <w:szCs w:val="28"/>
          <w:rtl/>
        </w:rPr>
        <w:t>זמ</w:t>
      </w:r>
      <w:r w:rsidR="00D86368" w:rsidRPr="001A0B66">
        <w:rPr>
          <w:rFonts w:ascii="FrankRuehl" w:hAnsi="FrankRuehl" w:cs="FrankRuehl"/>
          <w:sz w:val="28"/>
          <w:szCs w:val="28"/>
          <w:rtl/>
        </w:rPr>
        <w:t>ן</w:t>
      </w:r>
      <w:r w:rsidRPr="001A0B66">
        <w:rPr>
          <w:rFonts w:ascii="FrankRuehl" w:hAnsi="FrankRuehl" w:cs="FrankRuehl"/>
          <w:sz w:val="28"/>
          <w:szCs w:val="28"/>
          <w:rtl/>
        </w:rPr>
        <w:t xml:space="preserve"> המחוקק והמבצע, והוא כפוף למסגרת מוגבלת בלבד של </w:t>
      </w:r>
      <w:r w:rsidR="00A8780D" w:rsidRPr="001A0B66">
        <w:rPr>
          <w:rFonts w:ascii="FrankRuehl" w:hAnsi="FrankRuehl" w:cs="FrankRuehl"/>
          <w:sz w:val="28"/>
          <w:szCs w:val="28"/>
          <w:rtl/>
        </w:rPr>
        <w:t>איזונים ובלמים</w:t>
      </w:r>
      <w:r w:rsidR="00D86368" w:rsidRPr="001A0B66">
        <w:rPr>
          <w:rFonts w:ascii="FrankRuehl" w:hAnsi="FrankRuehl" w:cs="FrankRuehl"/>
          <w:sz w:val="28"/>
          <w:szCs w:val="28"/>
          <w:rtl/>
        </w:rPr>
        <w:t>.</w:t>
      </w:r>
      <w:r w:rsidR="00652542" w:rsidRPr="001A0B66">
        <w:rPr>
          <w:rStyle w:val="FootnoteReference"/>
          <w:rFonts w:ascii="FrankRuehl" w:hAnsi="FrankRuehl" w:cs="FrankRuehl"/>
          <w:sz w:val="28"/>
          <w:szCs w:val="28"/>
          <w:rtl/>
        </w:rPr>
        <w:footnoteReference w:id="127"/>
      </w:r>
      <w:r w:rsidR="00D86368" w:rsidRPr="001A0B66">
        <w:rPr>
          <w:rFonts w:ascii="FrankRuehl" w:hAnsi="FrankRuehl" w:cs="FrankRuehl"/>
          <w:sz w:val="28"/>
          <w:szCs w:val="28"/>
          <w:rtl/>
        </w:rPr>
        <w:t xml:space="preserve"> בשל כך,</w:t>
      </w:r>
      <w:r w:rsidR="00A8780D" w:rsidRPr="001A0B66">
        <w:rPr>
          <w:rFonts w:ascii="FrankRuehl" w:hAnsi="FrankRuehl" w:cs="FrankRuehl"/>
          <w:sz w:val="28"/>
          <w:szCs w:val="28"/>
          <w:rtl/>
        </w:rPr>
        <w:t xml:space="preserve"> ו</w:t>
      </w:r>
      <w:r w:rsidRPr="001A0B66">
        <w:rPr>
          <w:rFonts w:ascii="FrankRuehl" w:hAnsi="FrankRuehl" w:cs="FrankRuehl"/>
          <w:sz w:val="28"/>
          <w:szCs w:val="28"/>
          <w:rtl/>
        </w:rPr>
        <w:t xml:space="preserve">בעיקר בשל </w:t>
      </w:r>
      <w:r w:rsidR="00A8780D" w:rsidRPr="001A0B66">
        <w:rPr>
          <w:rFonts w:ascii="FrankRuehl" w:hAnsi="FrankRuehl" w:cs="FrankRuehl"/>
          <w:sz w:val="28"/>
          <w:szCs w:val="28"/>
          <w:rtl/>
        </w:rPr>
        <w:t>חוסר הצדק הגלום ב</w:t>
      </w:r>
      <w:r w:rsidRPr="001A0B66">
        <w:rPr>
          <w:rFonts w:ascii="FrankRuehl" w:hAnsi="FrankRuehl" w:cs="FrankRuehl"/>
          <w:sz w:val="28"/>
          <w:szCs w:val="28"/>
          <w:rtl/>
        </w:rPr>
        <w:t>מערכת משפט זו</w:t>
      </w:r>
      <w:r w:rsidR="00A8780D" w:rsidRPr="001A0B66">
        <w:rPr>
          <w:rFonts w:ascii="FrankRuehl" w:hAnsi="FrankRuehl" w:cs="FrankRuehl"/>
          <w:sz w:val="28"/>
          <w:szCs w:val="28"/>
          <w:rtl/>
        </w:rPr>
        <w:t xml:space="preserve"> כלפי האוכלוסי</w:t>
      </w:r>
      <w:r w:rsidRPr="001A0B66">
        <w:rPr>
          <w:rFonts w:ascii="FrankRuehl" w:hAnsi="FrankRuehl" w:cs="FrankRuehl"/>
          <w:sz w:val="28"/>
          <w:szCs w:val="28"/>
          <w:rtl/>
        </w:rPr>
        <w:t>י</w:t>
      </w:r>
      <w:r w:rsidR="00A8780D" w:rsidRPr="001A0B66">
        <w:rPr>
          <w:rFonts w:ascii="FrankRuehl" w:hAnsi="FrankRuehl" w:cs="FrankRuehl"/>
          <w:sz w:val="28"/>
          <w:szCs w:val="28"/>
          <w:rtl/>
        </w:rPr>
        <w:t>ה הכפופה אליה</w:t>
      </w:r>
      <w:r w:rsidR="00D86368" w:rsidRPr="001A0B66">
        <w:rPr>
          <w:rFonts w:ascii="FrankRuehl" w:hAnsi="FrankRuehl" w:cs="FrankRuehl"/>
          <w:sz w:val="28"/>
          <w:szCs w:val="28"/>
          <w:rtl/>
        </w:rPr>
        <w:t>,</w:t>
      </w:r>
      <w:r w:rsidR="00445144" w:rsidRPr="001A0B66">
        <w:rPr>
          <w:rFonts w:ascii="FrankRuehl" w:hAnsi="FrankRuehl" w:cs="FrankRuehl"/>
          <w:sz w:val="28"/>
          <w:szCs w:val="28"/>
          <w:rtl/>
        </w:rPr>
        <w:t xml:space="preserve"> החיה </w:t>
      </w:r>
      <w:r w:rsidR="00D86368" w:rsidRPr="001A0B66">
        <w:rPr>
          <w:rFonts w:ascii="FrankRuehl" w:hAnsi="FrankRuehl" w:cs="FrankRuehl"/>
          <w:sz w:val="28"/>
          <w:szCs w:val="28"/>
          <w:rtl/>
        </w:rPr>
        <w:t>ב</w:t>
      </w:r>
      <w:r w:rsidR="00445144" w:rsidRPr="001A0B66">
        <w:rPr>
          <w:rFonts w:ascii="FrankRuehl" w:hAnsi="FrankRuehl" w:cs="FrankRuehl"/>
          <w:sz w:val="28"/>
          <w:szCs w:val="28"/>
          <w:rtl/>
        </w:rPr>
        <w:t>משטר צבאי</w:t>
      </w:r>
      <w:r w:rsidR="003B1978">
        <w:rPr>
          <w:rFonts w:ascii="FrankRuehl" w:hAnsi="FrankRuehl" w:cs="FrankRuehl"/>
          <w:sz w:val="28"/>
          <w:szCs w:val="28"/>
          <w:rtl/>
        </w:rPr>
        <w:t xml:space="preserve"> של כיבוש והתנחלות</w:t>
      </w:r>
      <w:r w:rsidR="00445144" w:rsidRPr="001A0B66">
        <w:rPr>
          <w:rFonts w:ascii="FrankRuehl" w:hAnsi="FrankRuehl" w:cs="FrankRuehl"/>
          <w:sz w:val="28"/>
          <w:szCs w:val="28"/>
          <w:rtl/>
        </w:rPr>
        <w:t xml:space="preserve"> ללא זכויות פוליטיות</w:t>
      </w:r>
      <w:r w:rsidR="00A8780D" w:rsidRPr="001A0B66">
        <w:rPr>
          <w:rFonts w:ascii="FrankRuehl" w:hAnsi="FrankRuehl" w:cs="FrankRuehl"/>
          <w:sz w:val="28"/>
          <w:szCs w:val="28"/>
          <w:rtl/>
        </w:rPr>
        <w:t>,</w:t>
      </w:r>
      <w:r w:rsidR="00873FE5" w:rsidRPr="001A0B66">
        <w:rPr>
          <w:rStyle w:val="FootnoteReference"/>
          <w:rFonts w:ascii="FrankRuehl" w:hAnsi="FrankRuehl" w:cs="FrankRuehl"/>
          <w:sz w:val="28"/>
          <w:szCs w:val="28"/>
          <w:rtl/>
        </w:rPr>
        <w:footnoteReference w:id="128"/>
      </w:r>
      <w:r w:rsidR="00A8780D" w:rsidRPr="001A0B66">
        <w:rPr>
          <w:rFonts w:ascii="FrankRuehl" w:hAnsi="FrankRuehl" w:cs="FrankRuehl"/>
          <w:sz w:val="28"/>
          <w:szCs w:val="28"/>
          <w:rtl/>
        </w:rPr>
        <w:t xml:space="preserve"> התלבטנו אם </w:t>
      </w:r>
      <w:r w:rsidR="00D86368" w:rsidRPr="001A0B66">
        <w:rPr>
          <w:rFonts w:ascii="FrankRuehl" w:hAnsi="FrankRuehl" w:cs="FrankRuehl"/>
          <w:sz w:val="28"/>
          <w:szCs w:val="28"/>
          <w:rtl/>
        </w:rPr>
        <w:t xml:space="preserve">ראוי </w:t>
      </w:r>
      <w:r w:rsidR="00873FE5" w:rsidRPr="001A0B66">
        <w:rPr>
          <w:rFonts w:ascii="FrankRuehl" w:hAnsi="FrankRuehl" w:cs="FrankRuehl"/>
          <w:sz w:val="28"/>
          <w:szCs w:val="28"/>
          <w:rtl/>
        </w:rPr>
        <w:t xml:space="preserve">כלל להציע </w:t>
      </w:r>
      <w:r w:rsidR="00873FE5" w:rsidRPr="001A0B66">
        <w:rPr>
          <w:rFonts w:ascii="FrankRuehl" w:hAnsi="FrankRuehl" w:cs="FrankRuehl"/>
          <w:sz w:val="28"/>
          <w:szCs w:val="28"/>
          <w:rtl/>
        </w:rPr>
        <w:lastRenderedPageBreak/>
        <w:t xml:space="preserve">"תיקוני טלאים" </w:t>
      </w:r>
      <w:r w:rsidR="00A8780D" w:rsidRPr="001A0B66">
        <w:rPr>
          <w:rFonts w:ascii="FrankRuehl" w:hAnsi="FrankRuehl" w:cs="FrankRuehl"/>
          <w:sz w:val="28"/>
          <w:szCs w:val="28"/>
          <w:rtl/>
        </w:rPr>
        <w:t>למערכת</w:t>
      </w:r>
      <w:r w:rsidR="00737A27" w:rsidRPr="001A0B66">
        <w:rPr>
          <w:rFonts w:ascii="FrankRuehl" w:hAnsi="FrankRuehl" w:cs="FrankRuehl"/>
          <w:sz w:val="28"/>
          <w:szCs w:val="28"/>
          <w:rtl/>
        </w:rPr>
        <w:t xml:space="preserve"> </w:t>
      </w:r>
      <w:proofErr w:type="spellStart"/>
      <w:r w:rsidR="00737A27" w:rsidRPr="001A0B66">
        <w:rPr>
          <w:rFonts w:ascii="FrankRuehl" w:hAnsi="FrankRuehl" w:cs="FrankRuehl"/>
          <w:sz w:val="28"/>
          <w:szCs w:val="28"/>
          <w:rtl/>
        </w:rPr>
        <w:t>הסגרגטיבית</w:t>
      </w:r>
      <w:proofErr w:type="spellEnd"/>
      <w:r w:rsidR="00737A27" w:rsidRPr="001A0B66">
        <w:rPr>
          <w:rFonts w:ascii="FrankRuehl" w:hAnsi="FrankRuehl" w:cs="FrankRuehl"/>
          <w:sz w:val="28"/>
          <w:szCs w:val="28"/>
          <w:rtl/>
        </w:rPr>
        <w:t xml:space="preserve"> ה</w:t>
      </w:r>
      <w:r w:rsidR="00A8780D" w:rsidRPr="001A0B66">
        <w:rPr>
          <w:rFonts w:ascii="FrankRuehl" w:hAnsi="FrankRuehl" w:cs="FrankRuehl"/>
          <w:sz w:val="28"/>
          <w:szCs w:val="28"/>
          <w:rtl/>
        </w:rPr>
        <w:t>ז</w:t>
      </w:r>
      <w:r w:rsidR="00D86368" w:rsidRPr="001A0B66">
        <w:rPr>
          <w:rFonts w:ascii="FrankRuehl" w:hAnsi="FrankRuehl" w:cs="FrankRuehl"/>
          <w:sz w:val="28"/>
          <w:szCs w:val="28"/>
          <w:rtl/>
        </w:rPr>
        <w:t>את –</w:t>
      </w:r>
      <w:r w:rsidRPr="001A0B66">
        <w:rPr>
          <w:rFonts w:ascii="FrankRuehl" w:hAnsi="FrankRuehl" w:cs="FrankRuehl"/>
          <w:sz w:val="28"/>
          <w:szCs w:val="28"/>
          <w:rtl/>
        </w:rPr>
        <w:t xml:space="preserve"> תיקונים אלו ממ</w:t>
      </w:r>
      <w:r w:rsidR="0044009B" w:rsidRPr="001A0B66">
        <w:rPr>
          <w:rFonts w:ascii="FrankRuehl" w:hAnsi="FrankRuehl" w:cs="FrankRuehl"/>
          <w:sz w:val="28"/>
          <w:szCs w:val="28"/>
          <w:rtl/>
        </w:rPr>
        <w:t>י</w:t>
      </w:r>
      <w:r w:rsidRPr="001A0B66">
        <w:rPr>
          <w:rFonts w:ascii="FrankRuehl" w:hAnsi="FrankRuehl" w:cs="FrankRuehl"/>
          <w:sz w:val="28"/>
          <w:szCs w:val="28"/>
          <w:rtl/>
        </w:rPr>
        <w:t xml:space="preserve">לא </w:t>
      </w:r>
      <w:r w:rsidR="00D86368" w:rsidRPr="001A0B66">
        <w:rPr>
          <w:rFonts w:ascii="FrankRuehl" w:hAnsi="FrankRuehl" w:cs="FrankRuehl"/>
          <w:sz w:val="28"/>
          <w:szCs w:val="28"/>
          <w:rtl/>
        </w:rPr>
        <w:t xml:space="preserve">אינם </w:t>
      </w:r>
      <w:r w:rsidRPr="001A0B66">
        <w:rPr>
          <w:rFonts w:ascii="FrankRuehl" w:hAnsi="FrankRuehl" w:cs="FrankRuehl"/>
          <w:sz w:val="28"/>
          <w:szCs w:val="28"/>
          <w:rtl/>
        </w:rPr>
        <w:t xml:space="preserve">צפויים לשנות את </w:t>
      </w:r>
      <w:r w:rsidR="00A8780D" w:rsidRPr="001A0B66">
        <w:rPr>
          <w:rFonts w:ascii="FrankRuehl" w:hAnsi="FrankRuehl" w:cs="FrankRuehl"/>
          <w:sz w:val="28"/>
          <w:szCs w:val="28"/>
          <w:rtl/>
        </w:rPr>
        <w:t>חוסר האיזון הבסיסי ש</w:t>
      </w:r>
      <w:r w:rsidR="00737A27" w:rsidRPr="001A0B66">
        <w:rPr>
          <w:rFonts w:ascii="FrankRuehl" w:hAnsi="FrankRuehl" w:cs="FrankRuehl"/>
          <w:sz w:val="28"/>
          <w:szCs w:val="28"/>
          <w:rtl/>
        </w:rPr>
        <w:t>במצב הדברים הקיים</w:t>
      </w:r>
      <w:r w:rsidR="00D86368" w:rsidRPr="001A0B66">
        <w:rPr>
          <w:rFonts w:ascii="FrankRuehl" w:hAnsi="FrankRuehl" w:cs="FrankRuehl"/>
          <w:sz w:val="28"/>
          <w:szCs w:val="28"/>
          <w:rtl/>
        </w:rPr>
        <w:t>,</w:t>
      </w:r>
      <w:r w:rsidR="00A8780D" w:rsidRPr="001A0B66">
        <w:rPr>
          <w:rFonts w:ascii="FrankRuehl" w:hAnsi="FrankRuehl" w:cs="FrankRuehl"/>
          <w:sz w:val="28"/>
          <w:szCs w:val="28"/>
          <w:rtl/>
        </w:rPr>
        <w:t xml:space="preserve"> ו</w:t>
      </w:r>
      <w:r w:rsidRPr="001A0B66">
        <w:rPr>
          <w:rFonts w:ascii="FrankRuehl" w:hAnsi="FrankRuehl" w:cs="FrankRuehl"/>
          <w:sz w:val="28"/>
          <w:szCs w:val="28"/>
          <w:rtl/>
        </w:rPr>
        <w:t xml:space="preserve">הם </w:t>
      </w:r>
      <w:r w:rsidR="00A8780D" w:rsidRPr="001A0B66">
        <w:rPr>
          <w:rFonts w:ascii="FrankRuehl" w:hAnsi="FrankRuehl" w:cs="FrankRuehl"/>
          <w:sz w:val="28"/>
          <w:szCs w:val="28"/>
          <w:rtl/>
        </w:rPr>
        <w:t>עלולים להעניק ל</w:t>
      </w:r>
      <w:r w:rsidR="00737A27" w:rsidRPr="001A0B66">
        <w:rPr>
          <w:rFonts w:ascii="FrankRuehl" w:hAnsi="FrankRuehl" w:cs="FrankRuehl"/>
          <w:sz w:val="28"/>
          <w:szCs w:val="28"/>
          <w:rtl/>
        </w:rPr>
        <w:t>ו</w:t>
      </w:r>
      <w:r w:rsidR="00A8780D" w:rsidRPr="001A0B66">
        <w:rPr>
          <w:rFonts w:ascii="FrankRuehl" w:hAnsi="FrankRuehl" w:cs="FrankRuehl"/>
          <w:sz w:val="28"/>
          <w:szCs w:val="28"/>
          <w:rtl/>
        </w:rPr>
        <w:t xml:space="preserve"> מעטה של לגיטימיות. </w:t>
      </w:r>
      <w:r w:rsidR="00D86368" w:rsidRPr="001A0B66">
        <w:rPr>
          <w:rFonts w:ascii="FrankRuehl" w:hAnsi="FrankRuehl" w:cs="FrankRuehl"/>
          <w:sz w:val="28"/>
          <w:szCs w:val="28"/>
          <w:rtl/>
        </w:rPr>
        <w:t>חלקנו סבורים</w:t>
      </w:r>
      <w:r w:rsidR="00EA607C" w:rsidRPr="001A0B66">
        <w:rPr>
          <w:rFonts w:ascii="FrankRuehl" w:hAnsi="FrankRuehl" w:cs="FrankRuehl"/>
          <w:sz w:val="28"/>
          <w:szCs w:val="28"/>
          <w:rtl/>
        </w:rPr>
        <w:t xml:space="preserve"> </w:t>
      </w:r>
      <w:r w:rsidR="00D86368" w:rsidRPr="001A0B66">
        <w:rPr>
          <w:rFonts w:ascii="FrankRuehl" w:hAnsi="FrankRuehl" w:cs="FrankRuehl"/>
          <w:sz w:val="28"/>
          <w:szCs w:val="28"/>
          <w:rtl/>
        </w:rPr>
        <w:t xml:space="preserve">כי </w:t>
      </w:r>
      <w:r w:rsidR="006A5E99" w:rsidRPr="001A0B66">
        <w:rPr>
          <w:rFonts w:ascii="FrankRuehl" w:hAnsi="FrankRuehl" w:cs="FrankRuehl"/>
          <w:sz w:val="28"/>
          <w:szCs w:val="28"/>
          <w:rtl/>
        </w:rPr>
        <w:t>הרחבת הסדר עורכי הדין המיוחדים ל</w:t>
      </w:r>
      <w:r w:rsidR="00C95187" w:rsidRPr="001A0B66">
        <w:rPr>
          <w:rFonts w:ascii="FrankRuehl" w:hAnsi="FrankRuehl" w:cs="FrankRuehl"/>
          <w:sz w:val="28"/>
          <w:szCs w:val="28"/>
          <w:rtl/>
        </w:rPr>
        <w:t xml:space="preserve">עצירים </w:t>
      </w:r>
      <w:r w:rsidR="006A5E99" w:rsidRPr="001A0B66">
        <w:rPr>
          <w:rFonts w:ascii="FrankRuehl" w:hAnsi="FrankRuehl" w:cs="FrankRuehl"/>
          <w:sz w:val="28"/>
          <w:szCs w:val="28"/>
          <w:rtl/>
        </w:rPr>
        <w:t xml:space="preserve">פלסטינים בשטחים תפגע </w:t>
      </w:r>
      <w:r w:rsidR="00520349" w:rsidRPr="001A0B66">
        <w:rPr>
          <w:rFonts w:ascii="FrankRuehl" w:hAnsi="FrankRuehl" w:cs="FrankRuehl"/>
          <w:sz w:val="28"/>
          <w:szCs w:val="28"/>
          <w:rtl/>
        </w:rPr>
        <w:t>בהגנה המשפטית שיכולים להעניק</w:t>
      </w:r>
      <w:r w:rsidR="00C95187" w:rsidRPr="001A0B66">
        <w:rPr>
          <w:rFonts w:ascii="FrankRuehl" w:hAnsi="FrankRuehl" w:cs="FrankRuehl"/>
          <w:sz w:val="28"/>
          <w:szCs w:val="28"/>
          <w:rtl/>
        </w:rPr>
        <w:t xml:space="preserve"> להם</w:t>
      </w:r>
      <w:r w:rsidR="00520349" w:rsidRPr="001A0B66">
        <w:rPr>
          <w:rFonts w:ascii="FrankRuehl" w:hAnsi="FrankRuehl" w:cs="FrankRuehl"/>
          <w:sz w:val="28"/>
          <w:szCs w:val="28"/>
          <w:rtl/>
        </w:rPr>
        <w:t xml:space="preserve"> עורכי דין פלסטינים</w:t>
      </w:r>
      <w:r w:rsidR="00C95187" w:rsidRPr="001A0B66">
        <w:rPr>
          <w:rFonts w:ascii="FrankRuehl" w:hAnsi="FrankRuehl" w:cs="FrankRuehl"/>
          <w:sz w:val="28"/>
          <w:szCs w:val="28"/>
          <w:rtl/>
        </w:rPr>
        <w:t xml:space="preserve"> בני</w:t>
      </w:r>
      <w:r w:rsidR="00D86368" w:rsidRPr="001A0B66">
        <w:rPr>
          <w:rFonts w:ascii="FrankRuehl" w:hAnsi="FrankRuehl" w:cs="FrankRuehl"/>
          <w:sz w:val="28"/>
          <w:szCs w:val="28"/>
          <w:rtl/>
        </w:rPr>
        <w:t xml:space="preserve"> </w:t>
      </w:r>
      <w:r w:rsidR="00C95187" w:rsidRPr="001A0B66">
        <w:rPr>
          <w:rFonts w:ascii="FrankRuehl" w:hAnsi="FrankRuehl" w:cs="FrankRuehl"/>
          <w:sz w:val="28"/>
          <w:szCs w:val="28"/>
          <w:rtl/>
        </w:rPr>
        <w:t>קהילתם</w:t>
      </w:r>
      <w:r w:rsidR="00D86368" w:rsidRPr="001A0B66">
        <w:rPr>
          <w:rFonts w:ascii="FrankRuehl" w:hAnsi="FrankRuehl" w:cs="FrankRuehl"/>
          <w:sz w:val="28"/>
          <w:szCs w:val="28"/>
          <w:rtl/>
        </w:rPr>
        <w:t>;</w:t>
      </w:r>
      <w:r w:rsidR="005B62A6" w:rsidRPr="001A0B66">
        <w:rPr>
          <w:rFonts w:ascii="FrankRuehl" w:hAnsi="FrankRuehl" w:cs="FrankRuehl"/>
          <w:sz w:val="28"/>
          <w:szCs w:val="28"/>
          <w:rtl/>
        </w:rPr>
        <w:t xml:space="preserve"> </w:t>
      </w:r>
      <w:r w:rsidR="00CE1FCF" w:rsidRPr="001A0B66">
        <w:rPr>
          <w:rFonts w:ascii="FrankRuehl" w:hAnsi="FrankRuehl" w:cs="FrankRuehl"/>
          <w:sz w:val="28"/>
          <w:szCs w:val="28"/>
          <w:rtl/>
        </w:rPr>
        <w:t>ו</w:t>
      </w:r>
      <w:r w:rsidR="005B62A6" w:rsidRPr="001A0B66">
        <w:rPr>
          <w:rFonts w:ascii="FrankRuehl" w:hAnsi="FrankRuehl" w:cs="FrankRuehl"/>
          <w:sz w:val="28"/>
          <w:szCs w:val="28"/>
          <w:rtl/>
        </w:rPr>
        <w:t xml:space="preserve">כי החלת הסדרים מהמשפט הישראלי </w:t>
      </w:r>
      <w:r w:rsidR="00D86368" w:rsidRPr="001A0B66">
        <w:rPr>
          <w:rFonts w:ascii="FrankRuehl" w:hAnsi="FrankRuehl" w:cs="FrankRuehl"/>
          <w:sz w:val="28"/>
          <w:szCs w:val="28"/>
          <w:rtl/>
        </w:rPr>
        <w:t>על ה</w:t>
      </w:r>
      <w:r w:rsidR="005B62A6" w:rsidRPr="001A0B66">
        <w:rPr>
          <w:rFonts w:ascii="FrankRuehl" w:hAnsi="FrankRuehl" w:cs="FrankRuehl"/>
          <w:sz w:val="28"/>
          <w:szCs w:val="28"/>
          <w:rtl/>
        </w:rPr>
        <w:t xml:space="preserve">שטחים </w:t>
      </w:r>
      <w:r w:rsidR="00D86368" w:rsidRPr="001A0B66">
        <w:rPr>
          <w:rFonts w:ascii="FrankRuehl" w:hAnsi="FrankRuehl" w:cs="FrankRuehl"/>
          <w:sz w:val="28"/>
          <w:szCs w:val="28"/>
          <w:rtl/>
        </w:rPr>
        <w:t xml:space="preserve">היא </w:t>
      </w:r>
      <w:r w:rsidR="005B62A6" w:rsidRPr="001A0B66">
        <w:rPr>
          <w:rFonts w:ascii="FrankRuehl" w:hAnsi="FrankRuehl" w:cs="FrankRuehl"/>
          <w:sz w:val="28"/>
          <w:szCs w:val="28"/>
          <w:rtl/>
        </w:rPr>
        <w:t>סוג של סיפוח משפטי, ואף היא פוגעת בהגנה המשפטית שיכולים להעניק עורכי דין פלסטינים.</w:t>
      </w:r>
      <w:r w:rsidR="005B62A6" w:rsidRPr="001A0B66">
        <w:rPr>
          <w:rStyle w:val="FootnoteReference"/>
          <w:rFonts w:ascii="FrankRuehl" w:hAnsi="FrankRuehl" w:cs="FrankRuehl"/>
          <w:sz w:val="28"/>
          <w:szCs w:val="28"/>
          <w:rtl/>
        </w:rPr>
        <w:footnoteReference w:id="129"/>
      </w:r>
      <w:r w:rsidR="00785CFC" w:rsidRPr="001A0B66">
        <w:rPr>
          <w:rFonts w:ascii="FrankRuehl" w:hAnsi="FrankRuehl" w:cs="FrankRuehl"/>
          <w:sz w:val="28"/>
          <w:szCs w:val="28"/>
          <w:rtl/>
        </w:rPr>
        <w:t xml:space="preserve"> </w:t>
      </w:r>
      <w:r w:rsidR="00D86368" w:rsidRPr="001A0B66">
        <w:rPr>
          <w:rFonts w:ascii="FrankRuehl" w:hAnsi="FrankRuehl" w:cs="FrankRuehl"/>
          <w:sz w:val="28"/>
          <w:szCs w:val="28"/>
          <w:rtl/>
        </w:rPr>
        <w:t xml:space="preserve">אולם </w:t>
      </w:r>
      <w:r w:rsidR="00A8780D" w:rsidRPr="001A0B66">
        <w:rPr>
          <w:rFonts w:ascii="FrankRuehl" w:hAnsi="FrankRuehl" w:cs="FrankRuehl"/>
          <w:sz w:val="28"/>
          <w:szCs w:val="28"/>
          <w:rtl/>
        </w:rPr>
        <w:t xml:space="preserve">בסופו של דבר החלטנו </w:t>
      </w:r>
      <w:r w:rsidR="00D86368" w:rsidRPr="001A0B66">
        <w:rPr>
          <w:rFonts w:ascii="FrankRuehl" w:hAnsi="FrankRuehl" w:cs="FrankRuehl"/>
          <w:sz w:val="28"/>
          <w:szCs w:val="28"/>
          <w:rtl/>
        </w:rPr>
        <w:t>להציע</w:t>
      </w:r>
      <w:r w:rsidR="00D93874" w:rsidRPr="001A0B66">
        <w:rPr>
          <w:rFonts w:ascii="FrankRuehl" w:hAnsi="FrankRuehl" w:cs="FrankRuehl"/>
          <w:sz w:val="28"/>
          <w:szCs w:val="28"/>
          <w:rtl/>
        </w:rPr>
        <w:t xml:space="preserve"> </w:t>
      </w:r>
      <w:r w:rsidR="00A8780D" w:rsidRPr="001A0B66">
        <w:rPr>
          <w:rFonts w:ascii="FrankRuehl" w:hAnsi="FrankRuehl" w:cs="FrankRuehl"/>
          <w:sz w:val="28"/>
          <w:szCs w:val="28"/>
          <w:rtl/>
        </w:rPr>
        <w:t>להחיל</w:t>
      </w:r>
      <w:r w:rsidR="00D86368" w:rsidRPr="001A0B66">
        <w:rPr>
          <w:rFonts w:ascii="FrankRuehl" w:hAnsi="FrankRuehl" w:cs="FrankRuehl"/>
          <w:sz w:val="28"/>
          <w:szCs w:val="28"/>
          <w:rtl/>
        </w:rPr>
        <w:t xml:space="preserve"> את</w:t>
      </w:r>
      <w:r w:rsidR="00A8780D" w:rsidRPr="001A0B66">
        <w:rPr>
          <w:rFonts w:ascii="FrankRuehl" w:hAnsi="FrankRuehl" w:cs="FrankRuehl"/>
          <w:sz w:val="28"/>
          <w:szCs w:val="28"/>
          <w:rtl/>
        </w:rPr>
        <w:t xml:space="preserve"> </w:t>
      </w:r>
      <w:r w:rsidR="00D86368" w:rsidRPr="001A0B66">
        <w:rPr>
          <w:rFonts w:ascii="FrankRuehl" w:hAnsi="FrankRuehl" w:cs="FrankRuehl"/>
          <w:sz w:val="28"/>
          <w:szCs w:val="28"/>
          <w:rtl/>
        </w:rPr>
        <w:t>ה</w:t>
      </w:r>
      <w:r w:rsidR="00A8780D" w:rsidRPr="001A0B66">
        <w:rPr>
          <w:rFonts w:ascii="FrankRuehl" w:hAnsi="FrankRuehl" w:cs="FrankRuehl"/>
          <w:sz w:val="28"/>
          <w:szCs w:val="28"/>
          <w:rtl/>
        </w:rPr>
        <w:t xml:space="preserve">מנגנון של עורכי דין מיוחדים גם בשטחים, </w:t>
      </w:r>
      <w:r w:rsidR="00D86368" w:rsidRPr="001A0B66">
        <w:rPr>
          <w:rFonts w:ascii="FrankRuehl" w:hAnsi="FrankRuehl" w:cs="FrankRuehl"/>
          <w:sz w:val="28"/>
          <w:szCs w:val="28"/>
          <w:rtl/>
        </w:rPr>
        <w:t xml:space="preserve">מכמה </w:t>
      </w:r>
      <w:r w:rsidR="00A8780D" w:rsidRPr="001A0B66">
        <w:rPr>
          <w:rFonts w:ascii="FrankRuehl" w:hAnsi="FrankRuehl" w:cs="FrankRuehl"/>
          <w:sz w:val="28"/>
          <w:szCs w:val="28"/>
          <w:rtl/>
        </w:rPr>
        <w:t>סיבות</w:t>
      </w:r>
      <w:r w:rsidR="00D86368" w:rsidRPr="001A0B66">
        <w:rPr>
          <w:rFonts w:ascii="FrankRuehl" w:hAnsi="FrankRuehl" w:cs="FrankRuehl"/>
          <w:sz w:val="28"/>
          <w:szCs w:val="28"/>
          <w:rtl/>
        </w:rPr>
        <w:t>.</w:t>
      </w:r>
    </w:p>
    <w:p w14:paraId="1E5C302D" w14:textId="77777777" w:rsidR="002859D9" w:rsidRPr="001A0B66" w:rsidRDefault="00A8780D"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ראשית, </w:t>
      </w:r>
      <w:r w:rsidR="00D93874" w:rsidRPr="001A0B66">
        <w:rPr>
          <w:rFonts w:ascii="FrankRuehl" w:hAnsi="FrankRuehl" w:cs="FrankRuehl"/>
          <w:sz w:val="28"/>
          <w:szCs w:val="28"/>
          <w:rtl/>
        </w:rPr>
        <w:t xml:space="preserve">למרבה הצער, </w:t>
      </w:r>
      <w:r w:rsidRPr="001A0B66">
        <w:rPr>
          <w:rFonts w:ascii="FrankRuehl" w:hAnsi="FrankRuehl" w:cs="FrankRuehl"/>
          <w:sz w:val="28"/>
          <w:szCs w:val="28"/>
          <w:rtl/>
        </w:rPr>
        <w:t xml:space="preserve">מערכת המשפט בשטחים </w:t>
      </w:r>
      <w:r w:rsidR="001054E0" w:rsidRPr="001A0B66">
        <w:rPr>
          <w:rFonts w:ascii="FrankRuehl" w:hAnsi="FrankRuehl" w:cs="FrankRuehl"/>
          <w:sz w:val="28"/>
          <w:szCs w:val="28"/>
          <w:rtl/>
        </w:rPr>
        <w:t>תמשיך</w:t>
      </w:r>
      <w:r w:rsidRPr="001A0B66">
        <w:rPr>
          <w:rFonts w:ascii="FrankRuehl" w:hAnsi="FrankRuehl" w:cs="FrankRuehl"/>
          <w:sz w:val="28"/>
          <w:szCs w:val="28"/>
          <w:rtl/>
        </w:rPr>
        <w:t xml:space="preserve"> להתקיים ללא תלות בשאלה אם יופעלו בה עורכי דין מיוחדים </w:t>
      </w:r>
      <w:r w:rsidR="009C7D0B" w:rsidRPr="001A0B66">
        <w:rPr>
          <w:rFonts w:ascii="FrankRuehl" w:hAnsi="FrankRuehl" w:cs="FrankRuehl"/>
          <w:sz w:val="28"/>
          <w:szCs w:val="28"/>
          <w:rtl/>
        </w:rPr>
        <w:t xml:space="preserve">אם </w:t>
      </w:r>
      <w:r w:rsidRPr="001A0B66">
        <w:rPr>
          <w:rFonts w:ascii="FrankRuehl" w:hAnsi="FrankRuehl" w:cs="FrankRuehl"/>
          <w:sz w:val="28"/>
          <w:szCs w:val="28"/>
          <w:rtl/>
        </w:rPr>
        <w:t>לאו.</w:t>
      </w:r>
      <w:r w:rsidR="00160B54" w:rsidRPr="001A0B66">
        <w:rPr>
          <w:rFonts w:ascii="FrankRuehl" w:hAnsi="FrankRuehl" w:cs="FrankRuehl"/>
          <w:sz w:val="28"/>
          <w:szCs w:val="28"/>
          <w:rtl/>
        </w:rPr>
        <w:t xml:space="preserve"> </w:t>
      </w:r>
      <w:r w:rsidR="009C7D0B" w:rsidRPr="001A0B66">
        <w:rPr>
          <w:rFonts w:ascii="FrankRuehl" w:hAnsi="FrankRuehl" w:cs="FrankRuehl"/>
          <w:sz w:val="28"/>
          <w:szCs w:val="28"/>
          <w:rtl/>
        </w:rPr>
        <w:t xml:space="preserve">לעומת זאת, אם </w:t>
      </w:r>
      <w:r w:rsidR="006A5E99" w:rsidRPr="001A0B66">
        <w:rPr>
          <w:rFonts w:ascii="FrankRuehl" w:hAnsi="FrankRuehl" w:cs="FrankRuehl"/>
          <w:sz w:val="28"/>
          <w:szCs w:val="28"/>
          <w:rtl/>
        </w:rPr>
        <w:t>הצעתנו תתקבל</w:t>
      </w:r>
      <w:r w:rsidR="009C7D0B" w:rsidRPr="001A0B66">
        <w:rPr>
          <w:rFonts w:ascii="FrankRuehl" w:hAnsi="FrankRuehl" w:cs="FrankRuehl"/>
          <w:sz w:val="28"/>
          <w:szCs w:val="28"/>
          <w:rtl/>
        </w:rPr>
        <w:t xml:space="preserve"> היא</w:t>
      </w:r>
      <w:r w:rsidR="006A5E99" w:rsidRPr="001A0B66">
        <w:rPr>
          <w:rFonts w:ascii="FrankRuehl" w:hAnsi="FrankRuehl" w:cs="FrankRuehl"/>
          <w:sz w:val="28"/>
          <w:szCs w:val="28"/>
          <w:rtl/>
        </w:rPr>
        <w:t xml:space="preserve"> תוביל </w:t>
      </w:r>
      <w:r w:rsidR="00737A27" w:rsidRPr="001A0B66">
        <w:rPr>
          <w:rFonts w:ascii="FrankRuehl" w:hAnsi="FrankRuehl" w:cs="FrankRuehl"/>
          <w:sz w:val="28"/>
          <w:szCs w:val="28"/>
          <w:rtl/>
        </w:rPr>
        <w:t>לשיפור</w:t>
      </w:r>
      <w:r w:rsidR="001054E0" w:rsidRPr="001A0B66">
        <w:rPr>
          <w:rFonts w:ascii="FrankRuehl" w:hAnsi="FrankRuehl" w:cs="FrankRuehl"/>
          <w:sz w:val="28"/>
          <w:szCs w:val="28"/>
          <w:rtl/>
        </w:rPr>
        <w:t xml:space="preserve"> ייצוגם של עצירים </w:t>
      </w:r>
      <w:r w:rsidR="00737A27" w:rsidRPr="001A0B66">
        <w:rPr>
          <w:rFonts w:ascii="FrankRuehl" w:hAnsi="FrankRuehl" w:cs="FrankRuehl"/>
          <w:sz w:val="28"/>
          <w:szCs w:val="28"/>
          <w:rtl/>
        </w:rPr>
        <w:t xml:space="preserve">מנהליים </w:t>
      </w:r>
      <w:r w:rsidR="001054E0" w:rsidRPr="001A0B66">
        <w:rPr>
          <w:rFonts w:ascii="FrankRuehl" w:hAnsi="FrankRuehl" w:cs="FrankRuehl"/>
          <w:sz w:val="28"/>
          <w:szCs w:val="28"/>
          <w:rtl/>
        </w:rPr>
        <w:t xml:space="preserve">רבים </w:t>
      </w:r>
      <w:r w:rsidR="009C7D0B" w:rsidRPr="001A0B66">
        <w:rPr>
          <w:rFonts w:ascii="FrankRuehl" w:hAnsi="FrankRuehl" w:cs="FrankRuehl"/>
          <w:sz w:val="28"/>
          <w:szCs w:val="28"/>
          <w:rtl/>
        </w:rPr>
        <w:t>ואינה</w:t>
      </w:r>
      <w:r w:rsidR="001054E0" w:rsidRPr="001A0B66">
        <w:rPr>
          <w:rFonts w:ascii="FrankRuehl" w:hAnsi="FrankRuehl" w:cs="FrankRuehl"/>
          <w:sz w:val="28"/>
          <w:szCs w:val="28"/>
          <w:rtl/>
        </w:rPr>
        <w:t xml:space="preserve"> צפוי</w:t>
      </w:r>
      <w:r w:rsidR="00C95187" w:rsidRPr="001A0B66">
        <w:rPr>
          <w:rFonts w:ascii="FrankRuehl" w:hAnsi="FrankRuehl" w:cs="FrankRuehl"/>
          <w:sz w:val="28"/>
          <w:szCs w:val="28"/>
          <w:rtl/>
        </w:rPr>
        <w:t>ה</w:t>
      </w:r>
      <w:r w:rsidR="001054E0" w:rsidRPr="001A0B66">
        <w:rPr>
          <w:rFonts w:ascii="FrankRuehl" w:hAnsi="FrankRuehl" w:cs="FrankRuehl"/>
          <w:sz w:val="28"/>
          <w:szCs w:val="28"/>
          <w:rtl/>
        </w:rPr>
        <w:t xml:space="preserve"> לשנות את מאזן </w:t>
      </w:r>
      <w:r w:rsidR="006A5E99" w:rsidRPr="001A0B66">
        <w:rPr>
          <w:rFonts w:ascii="FrankRuehl" w:hAnsi="FrankRuehl" w:cs="FrankRuehl"/>
          <w:sz w:val="28"/>
          <w:szCs w:val="28"/>
          <w:rtl/>
        </w:rPr>
        <w:t xml:space="preserve">(אי) </w:t>
      </w:r>
      <w:r w:rsidR="001054E0" w:rsidRPr="001A0B66">
        <w:rPr>
          <w:rFonts w:ascii="FrankRuehl" w:hAnsi="FrankRuehl" w:cs="FrankRuehl"/>
          <w:sz w:val="28"/>
          <w:szCs w:val="28"/>
          <w:rtl/>
        </w:rPr>
        <w:t xml:space="preserve">הלגיטימציה הנוכחי באופן </w:t>
      </w:r>
      <w:r w:rsidR="002B08E8" w:rsidRPr="001A0B66">
        <w:rPr>
          <w:rFonts w:ascii="FrankRuehl" w:hAnsi="FrankRuehl" w:cs="FrankRuehl"/>
          <w:sz w:val="28"/>
          <w:szCs w:val="28"/>
          <w:rtl/>
        </w:rPr>
        <w:t>ניכר</w:t>
      </w:r>
      <w:r w:rsidR="001054E0" w:rsidRPr="001A0B66">
        <w:rPr>
          <w:rFonts w:ascii="FrankRuehl" w:hAnsi="FrankRuehl" w:cs="FrankRuehl"/>
          <w:sz w:val="28"/>
          <w:szCs w:val="28"/>
          <w:rtl/>
        </w:rPr>
        <w:t xml:space="preserve">. </w:t>
      </w:r>
    </w:p>
    <w:p w14:paraId="51B0E5CB" w14:textId="77777777" w:rsidR="00160B54" w:rsidRPr="001A0B66" w:rsidRDefault="001054E0"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שנית,</w:t>
      </w:r>
      <w:r w:rsidR="001F5E1C" w:rsidRPr="001A0B66">
        <w:rPr>
          <w:rFonts w:ascii="FrankRuehl" w:hAnsi="FrankRuehl" w:cs="FrankRuehl"/>
          <w:sz w:val="28"/>
          <w:szCs w:val="28"/>
          <w:rtl/>
        </w:rPr>
        <w:t xml:space="preserve"> </w:t>
      </w:r>
      <w:r w:rsidR="000D2217" w:rsidRPr="001A0B66">
        <w:rPr>
          <w:rFonts w:ascii="FrankRuehl" w:hAnsi="FrankRuehl" w:cs="FrankRuehl"/>
          <w:sz w:val="28"/>
          <w:szCs w:val="28"/>
          <w:rtl/>
        </w:rPr>
        <w:t xml:space="preserve">אם </w:t>
      </w:r>
      <w:r w:rsidR="00CB0989" w:rsidRPr="001A0B66">
        <w:rPr>
          <w:rFonts w:ascii="FrankRuehl" w:hAnsi="FrankRuehl" w:cs="FrankRuehl"/>
          <w:sz w:val="28"/>
          <w:szCs w:val="28"/>
          <w:rtl/>
        </w:rPr>
        <w:t>יתקבל</w:t>
      </w:r>
      <w:r w:rsidR="000D2217" w:rsidRPr="001A0B66">
        <w:rPr>
          <w:rFonts w:ascii="FrankRuehl" w:hAnsi="FrankRuehl" w:cs="FrankRuehl"/>
          <w:sz w:val="28"/>
          <w:szCs w:val="28"/>
          <w:rtl/>
        </w:rPr>
        <w:t xml:space="preserve"> החוק</w:t>
      </w:r>
      <w:r w:rsidRPr="001A0B66">
        <w:rPr>
          <w:rFonts w:ascii="FrankRuehl" w:hAnsi="FrankRuehl" w:cs="FrankRuehl"/>
          <w:sz w:val="28"/>
          <w:szCs w:val="28"/>
          <w:rtl/>
        </w:rPr>
        <w:t xml:space="preserve"> בישראל</w:t>
      </w:r>
      <w:r w:rsidR="000D2217" w:rsidRPr="001A0B66">
        <w:rPr>
          <w:rFonts w:ascii="FrankRuehl" w:hAnsi="FrankRuehl" w:cs="FrankRuehl"/>
          <w:sz w:val="28"/>
          <w:szCs w:val="28"/>
          <w:rtl/>
        </w:rPr>
        <w:t xml:space="preserve"> ויופעל מנגנון עורכי הדין המיוחדים אך ורק ביחס לאזרחי </w:t>
      </w:r>
      <w:r w:rsidR="00E32C86" w:rsidRPr="001A0B66">
        <w:rPr>
          <w:rFonts w:ascii="FrankRuehl" w:hAnsi="FrankRuehl" w:cs="FrankRuehl"/>
          <w:sz w:val="28"/>
          <w:szCs w:val="28"/>
          <w:rtl/>
        </w:rPr>
        <w:t>ישראל ו</w:t>
      </w:r>
      <w:r w:rsidR="006F1FB9" w:rsidRPr="001A0B66">
        <w:rPr>
          <w:rFonts w:ascii="FrankRuehl" w:hAnsi="FrankRuehl" w:cs="FrankRuehl"/>
          <w:sz w:val="28"/>
          <w:szCs w:val="28"/>
          <w:rtl/>
        </w:rPr>
        <w:t>ל</w:t>
      </w:r>
      <w:r w:rsidR="00E32C86" w:rsidRPr="001A0B66">
        <w:rPr>
          <w:rFonts w:ascii="FrankRuehl" w:hAnsi="FrankRuehl" w:cs="FrankRuehl"/>
          <w:sz w:val="28"/>
          <w:szCs w:val="28"/>
          <w:rtl/>
        </w:rPr>
        <w:t>תושבי</w:t>
      </w:r>
      <w:r w:rsidR="004E43D1" w:rsidRPr="001A0B66">
        <w:rPr>
          <w:rFonts w:ascii="FrankRuehl" w:hAnsi="FrankRuehl" w:cs="FrankRuehl"/>
          <w:sz w:val="28"/>
          <w:szCs w:val="28"/>
          <w:rtl/>
        </w:rPr>
        <w:t>ה</w:t>
      </w:r>
      <w:r w:rsidR="000D2217" w:rsidRPr="001A0B66">
        <w:rPr>
          <w:rFonts w:ascii="FrankRuehl" w:hAnsi="FrankRuehl" w:cs="FrankRuehl"/>
          <w:sz w:val="28"/>
          <w:szCs w:val="28"/>
          <w:rtl/>
        </w:rPr>
        <w:t>, יועמק</w:t>
      </w:r>
      <w:r w:rsidR="002B08E8" w:rsidRPr="001A0B66">
        <w:rPr>
          <w:rFonts w:ascii="FrankRuehl" w:hAnsi="FrankRuehl" w:cs="FrankRuehl"/>
          <w:sz w:val="28"/>
          <w:szCs w:val="28"/>
          <w:rtl/>
        </w:rPr>
        <w:t>ו</w:t>
      </w:r>
      <w:r w:rsidR="000D2217" w:rsidRPr="001A0B66">
        <w:rPr>
          <w:rFonts w:ascii="FrankRuehl" w:hAnsi="FrankRuehl" w:cs="FrankRuehl"/>
          <w:sz w:val="28"/>
          <w:szCs w:val="28"/>
          <w:rtl/>
        </w:rPr>
        <w:t xml:space="preserve"> הפער</w:t>
      </w:r>
      <w:r w:rsidR="002B08E8" w:rsidRPr="001A0B66">
        <w:rPr>
          <w:rFonts w:ascii="FrankRuehl" w:hAnsi="FrankRuehl" w:cs="FrankRuehl"/>
          <w:sz w:val="28"/>
          <w:szCs w:val="28"/>
          <w:rtl/>
        </w:rPr>
        <w:t>ים</w:t>
      </w:r>
      <w:r w:rsidR="00F72A46" w:rsidRPr="001A0B66">
        <w:rPr>
          <w:rFonts w:ascii="FrankRuehl" w:hAnsi="FrankRuehl" w:cs="FrankRuehl"/>
          <w:sz w:val="28"/>
          <w:szCs w:val="28"/>
          <w:rtl/>
        </w:rPr>
        <w:t xml:space="preserve"> </w:t>
      </w:r>
      <w:r w:rsidR="00886CF7" w:rsidRPr="001A0B66">
        <w:rPr>
          <w:rFonts w:ascii="FrankRuehl" w:hAnsi="FrankRuehl" w:cs="FrankRuehl"/>
          <w:sz w:val="28"/>
          <w:szCs w:val="28"/>
          <w:rtl/>
        </w:rPr>
        <w:t xml:space="preserve">בין מערכת המשפט </w:t>
      </w:r>
      <w:r w:rsidR="009C7D0B" w:rsidRPr="001A0B66">
        <w:rPr>
          <w:rFonts w:ascii="FrankRuehl" w:hAnsi="FrankRuehl" w:cs="FrankRuehl"/>
          <w:sz w:val="28"/>
          <w:szCs w:val="28"/>
          <w:rtl/>
        </w:rPr>
        <w:t>המוחלת על</w:t>
      </w:r>
      <w:r w:rsidR="00886CF7" w:rsidRPr="001A0B66">
        <w:rPr>
          <w:rFonts w:ascii="FrankRuehl" w:hAnsi="FrankRuehl" w:cs="FrankRuehl"/>
          <w:sz w:val="28"/>
          <w:szCs w:val="28"/>
          <w:rtl/>
        </w:rPr>
        <w:t xml:space="preserve"> אזרחים </w:t>
      </w:r>
      <w:r w:rsidR="001F5E1C" w:rsidRPr="001A0B66">
        <w:rPr>
          <w:rFonts w:ascii="FrankRuehl" w:hAnsi="FrankRuehl" w:cs="FrankRuehl"/>
          <w:sz w:val="28"/>
          <w:szCs w:val="28"/>
          <w:rtl/>
        </w:rPr>
        <w:t xml:space="preserve">ותושבים </w:t>
      </w:r>
      <w:r w:rsidR="00886CF7" w:rsidRPr="001A0B66">
        <w:rPr>
          <w:rFonts w:ascii="FrankRuehl" w:hAnsi="FrankRuehl" w:cs="FrankRuehl"/>
          <w:sz w:val="28"/>
          <w:szCs w:val="28"/>
          <w:rtl/>
        </w:rPr>
        <w:t>ישראלים</w:t>
      </w:r>
      <w:r w:rsidR="00A96FAC" w:rsidRPr="001A0B66">
        <w:rPr>
          <w:rFonts w:ascii="FrankRuehl" w:hAnsi="FrankRuehl" w:cs="FrankRuehl"/>
          <w:sz w:val="28"/>
          <w:szCs w:val="28"/>
          <w:rtl/>
        </w:rPr>
        <w:t xml:space="preserve"> </w:t>
      </w:r>
      <w:r w:rsidR="00730914" w:rsidRPr="001A0B66">
        <w:rPr>
          <w:rFonts w:ascii="FrankRuehl" w:hAnsi="FrankRuehl" w:cs="FrankRuehl"/>
          <w:sz w:val="28"/>
          <w:szCs w:val="28"/>
          <w:rtl/>
        </w:rPr>
        <w:t>ל</w:t>
      </w:r>
      <w:r w:rsidR="00886CF7" w:rsidRPr="001A0B66">
        <w:rPr>
          <w:rFonts w:ascii="FrankRuehl" w:hAnsi="FrankRuehl" w:cs="FrankRuehl"/>
          <w:sz w:val="28"/>
          <w:szCs w:val="28"/>
          <w:rtl/>
        </w:rPr>
        <w:t xml:space="preserve">בין מערכת המשפט </w:t>
      </w:r>
      <w:r w:rsidR="009C7D0B" w:rsidRPr="001A0B66">
        <w:rPr>
          <w:rFonts w:ascii="FrankRuehl" w:hAnsi="FrankRuehl" w:cs="FrankRuehl"/>
          <w:sz w:val="28"/>
          <w:szCs w:val="28"/>
          <w:rtl/>
        </w:rPr>
        <w:t>המוחלת על</w:t>
      </w:r>
      <w:r w:rsidR="00886CF7" w:rsidRPr="001A0B66">
        <w:rPr>
          <w:rFonts w:ascii="FrankRuehl" w:hAnsi="FrankRuehl" w:cs="FrankRuehl"/>
          <w:sz w:val="28"/>
          <w:szCs w:val="28"/>
          <w:rtl/>
        </w:rPr>
        <w:t xml:space="preserve"> התושבים המוגנים הפלסטינים</w:t>
      </w:r>
      <w:r w:rsidR="00E32C86" w:rsidRPr="001A0B66">
        <w:rPr>
          <w:rFonts w:ascii="FrankRuehl" w:hAnsi="FrankRuehl" w:cs="FrankRuehl"/>
          <w:sz w:val="28"/>
          <w:szCs w:val="28"/>
          <w:rtl/>
        </w:rPr>
        <w:t>.</w:t>
      </w:r>
      <w:r w:rsidR="00895D97" w:rsidRPr="001A0B66">
        <w:rPr>
          <w:rStyle w:val="FootnoteReference"/>
          <w:rFonts w:ascii="FrankRuehl" w:hAnsi="FrankRuehl" w:cs="FrankRuehl"/>
          <w:sz w:val="28"/>
          <w:szCs w:val="28"/>
          <w:rtl/>
        </w:rPr>
        <w:footnoteReference w:id="130"/>
      </w:r>
      <w:r w:rsidR="005B5678" w:rsidRPr="001A0B66">
        <w:rPr>
          <w:rStyle w:val="FootnoteReference"/>
          <w:rFonts w:ascii="FrankRuehl" w:hAnsi="FrankRuehl" w:cs="FrankRuehl"/>
          <w:sz w:val="28"/>
          <w:szCs w:val="28"/>
          <w:rtl/>
        </w:rPr>
        <w:t xml:space="preserve"> </w:t>
      </w:r>
      <w:r w:rsidR="00D93874" w:rsidRPr="001A0B66">
        <w:rPr>
          <w:rFonts w:ascii="FrankRuehl" w:hAnsi="FrankRuehl" w:cs="FrankRuehl"/>
          <w:sz w:val="28"/>
          <w:szCs w:val="28"/>
          <w:rtl/>
        </w:rPr>
        <w:t xml:space="preserve">מקצת הפערים הקיימים בתחום הפלילי </w:t>
      </w:r>
      <w:r w:rsidR="009C7D0B" w:rsidRPr="001A0B66">
        <w:rPr>
          <w:rFonts w:ascii="FrankRuehl" w:hAnsi="FrankRuehl" w:cs="FrankRuehl"/>
          <w:sz w:val="28"/>
          <w:szCs w:val="28"/>
          <w:rtl/>
        </w:rPr>
        <w:t>הם</w:t>
      </w:r>
      <w:r w:rsidR="00D93874" w:rsidRPr="001A0B66">
        <w:rPr>
          <w:rFonts w:ascii="FrankRuehl" w:hAnsi="FrankRuehl" w:cs="FrankRuehl"/>
          <w:sz w:val="28"/>
          <w:szCs w:val="28"/>
          <w:rtl/>
        </w:rPr>
        <w:t xml:space="preserve"> הגדרות עבירה רחבות יותר, הגנות פרוצדורליות מופחתות וענישה חמורה יותר. נוסף</w:t>
      </w:r>
      <w:r w:rsidR="009C7D0B" w:rsidRPr="001A0B66">
        <w:rPr>
          <w:rFonts w:ascii="FrankRuehl" w:hAnsi="FrankRuehl" w:cs="FrankRuehl"/>
          <w:sz w:val="28"/>
          <w:szCs w:val="28"/>
          <w:rtl/>
        </w:rPr>
        <w:t xml:space="preserve"> על כך</w:t>
      </w:r>
      <w:r w:rsidR="00D93874" w:rsidRPr="001A0B66">
        <w:rPr>
          <w:rFonts w:ascii="FrankRuehl" w:hAnsi="FrankRuehl" w:cs="FrankRuehl"/>
          <w:sz w:val="28"/>
          <w:szCs w:val="28"/>
          <w:rtl/>
        </w:rPr>
        <w:t>, בשל המציאות של מערכת משפט צבאית בשטח כבוש, לא רק שהפלסטינים אינם משתתפים בכל דרך בתהליך החקיקה, אלא שפער הכוחות בין התביעה הצבאית לבין הסנגוריה, שרובה מורכבת מעורכי דין פלסטינים תושבי השטחים, הם גדולים במיוחד.</w:t>
      </w:r>
      <w:r w:rsidR="00886CF7" w:rsidRPr="001A0B66">
        <w:rPr>
          <w:rStyle w:val="FootnoteReference"/>
          <w:rFonts w:ascii="FrankRuehl" w:hAnsi="FrankRuehl" w:cs="FrankRuehl"/>
          <w:sz w:val="28"/>
          <w:szCs w:val="28"/>
          <w:rtl/>
        </w:rPr>
        <w:footnoteReference w:id="131"/>
      </w:r>
      <w:r w:rsidR="00F72A46" w:rsidRPr="001A0B66">
        <w:rPr>
          <w:rFonts w:ascii="FrankRuehl" w:hAnsi="FrankRuehl" w:cs="FrankRuehl"/>
          <w:sz w:val="28"/>
          <w:szCs w:val="28"/>
          <w:rtl/>
        </w:rPr>
        <w:t xml:space="preserve"> זהו פער </w:t>
      </w:r>
      <w:r w:rsidR="009C7D0B" w:rsidRPr="001A0B66">
        <w:rPr>
          <w:rFonts w:ascii="FrankRuehl" w:hAnsi="FrankRuehl" w:cs="FrankRuehl"/>
          <w:sz w:val="28"/>
          <w:szCs w:val="28"/>
          <w:rtl/>
        </w:rPr>
        <w:t>שאי אפש</w:t>
      </w:r>
      <w:r w:rsidR="007F6A35" w:rsidRPr="001A0B66">
        <w:rPr>
          <w:rFonts w:ascii="FrankRuehl" w:hAnsi="FrankRuehl" w:cs="FrankRuehl"/>
          <w:sz w:val="28"/>
          <w:szCs w:val="28"/>
          <w:rtl/>
        </w:rPr>
        <w:t>ר</w:t>
      </w:r>
      <w:r w:rsidR="00F72A46" w:rsidRPr="001A0B66">
        <w:rPr>
          <w:rFonts w:ascii="FrankRuehl" w:hAnsi="FrankRuehl" w:cs="FrankRuehl"/>
          <w:sz w:val="28"/>
          <w:szCs w:val="28"/>
          <w:rtl/>
        </w:rPr>
        <w:t xml:space="preserve"> להצדיקו</w:t>
      </w:r>
      <w:r w:rsidR="00AA6096" w:rsidRPr="001A0B66">
        <w:rPr>
          <w:rFonts w:ascii="FrankRuehl" w:hAnsi="FrankRuehl" w:cs="FrankRuehl"/>
          <w:sz w:val="28"/>
          <w:szCs w:val="28"/>
          <w:rtl/>
        </w:rPr>
        <w:t xml:space="preserve">, </w:t>
      </w:r>
      <w:r w:rsidR="00AD09A9" w:rsidRPr="001A0B66">
        <w:rPr>
          <w:rFonts w:ascii="FrankRuehl" w:hAnsi="FrankRuehl" w:cs="FrankRuehl"/>
          <w:sz w:val="28"/>
          <w:szCs w:val="28"/>
          <w:rtl/>
        </w:rPr>
        <w:t>הוא פוגע באוכלוסי</w:t>
      </w:r>
      <w:r w:rsidR="00836624" w:rsidRPr="001A0B66">
        <w:rPr>
          <w:rFonts w:ascii="FrankRuehl" w:hAnsi="FrankRuehl" w:cs="FrankRuehl"/>
          <w:sz w:val="28"/>
          <w:szCs w:val="28"/>
          <w:rtl/>
        </w:rPr>
        <w:t>י</w:t>
      </w:r>
      <w:r w:rsidR="00AD09A9" w:rsidRPr="001A0B66">
        <w:rPr>
          <w:rFonts w:ascii="FrankRuehl" w:hAnsi="FrankRuehl" w:cs="FrankRuehl"/>
          <w:sz w:val="28"/>
          <w:szCs w:val="28"/>
          <w:rtl/>
        </w:rPr>
        <w:t xml:space="preserve">ה </w:t>
      </w:r>
      <w:r w:rsidR="009C7D0B" w:rsidRPr="001A0B66">
        <w:rPr>
          <w:rFonts w:ascii="FrankRuehl" w:hAnsi="FrankRuehl" w:cs="FrankRuehl"/>
          <w:sz w:val="28"/>
          <w:szCs w:val="28"/>
          <w:rtl/>
        </w:rPr>
        <w:t xml:space="preserve">שמבחינה פוליטית היא </w:t>
      </w:r>
      <w:r w:rsidR="00AD09A9" w:rsidRPr="001A0B66">
        <w:rPr>
          <w:rFonts w:ascii="FrankRuehl" w:hAnsi="FrankRuehl" w:cs="FrankRuehl"/>
          <w:sz w:val="28"/>
          <w:szCs w:val="28"/>
          <w:rtl/>
        </w:rPr>
        <w:t xml:space="preserve">חסרת כוח להשפיע על מערכת החקיקה ואכיפת החוק, </w:t>
      </w:r>
      <w:r w:rsidR="00AA6096" w:rsidRPr="001A0B66">
        <w:rPr>
          <w:rFonts w:ascii="FrankRuehl" w:hAnsi="FrankRuehl" w:cs="FrankRuehl"/>
          <w:sz w:val="28"/>
          <w:szCs w:val="28"/>
          <w:rtl/>
        </w:rPr>
        <w:t xml:space="preserve">והוא יפגע גם באחת ממטרותיו המוצהרות של החוק בעיניי </w:t>
      </w:r>
      <w:r w:rsidR="00F936CB" w:rsidRPr="001A0B66">
        <w:rPr>
          <w:rFonts w:ascii="FrankRuehl" w:hAnsi="FrankRuehl" w:cs="FrankRuehl"/>
          <w:sz w:val="28"/>
          <w:szCs w:val="28"/>
          <w:rtl/>
        </w:rPr>
        <w:t>מנסחי הצעת החוק</w:t>
      </w:r>
      <w:r w:rsidR="00AA6096" w:rsidRPr="001A0B66">
        <w:rPr>
          <w:rFonts w:ascii="FrankRuehl" w:hAnsi="FrankRuehl" w:cs="FrankRuehl"/>
          <w:sz w:val="28"/>
          <w:szCs w:val="28"/>
          <w:rtl/>
        </w:rPr>
        <w:t xml:space="preserve">: </w:t>
      </w:r>
      <w:r w:rsidR="00037E09" w:rsidRPr="001A0B66">
        <w:rPr>
          <w:rFonts w:ascii="FrankRuehl" w:hAnsi="FrankRuehl" w:cs="FrankRuehl"/>
          <w:sz w:val="28"/>
          <w:szCs w:val="28"/>
          <w:rtl/>
        </w:rPr>
        <w:t>"</w:t>
      </w:r>
      <w:r w:rsidR="00D57F31" w:rsidRPr="001A0B66">
        <w:rPr>
          <w:rFonts w:ascii="FrankRuehl" w:hAnsi="FrankRuehl" w:cs="FrankRuehl"/>
          <w:sz w:val="28"/>
          <w:szCs w:val="28"/>
          <w:rtl/>
        </w:rPr>
        <w:t>[הפחתת]</w:t>
      </w:r>
      <w:r w:rsidR="00037E09" w:rsidRPr="001A0B66">
        <w:rPr>
          <w:rFonts w:ascii="FrankRuehl" w:hAnsi="FrankRuehl" w:cs="FrankRuehl"/>
          <w:sz w:val="28"/>
          <w:szCs w:val="28"/>
          <w:rtl/>
        </w:rPr>
        <w:t xml:space="preserve"> הביקורת הבין-לאומית על ישראל"</w:t>
      </w:r>
      <w:r w:rsidR="00AA6096" w:rsidRPr="001A0B66">
        <w:rPr>
          <w:rFonts w:ascii="FrankRuehl" w:hAnsi="FrankRuehl" w:cs="FrankRuehl"/>
          <w:sz w:val="28"/>
          <w:szCs w:val="28"/>
          <w:rtl/>
        </w:rPr>
        <w:t>.</w:t>
      </w:r>
      <w:bookmarkStart w:id="96" w:name="_Hlk67590523"/>
      <w:r w:rsidR="00AA6096" w:rsidRPr="001A0B66">
        <w:rPr>
          <w:rStyle w:val="FootnoteReference"/>
          <w:rFonts w:ascii="FrankRuehl" w:hAnsi="FrankRuehl" w:cs="FrankRuehl"/>
          <w:sz w:val="28"/>
          <w:szCs w:val="28"/>
          <w:rtl/>
        </w:rPr>
        <w:footnoteReference w:id="132"/>
      </w:r>
      <w:bookmarkEnd w:id="96"/>
      <w:r w:rsidR="00FB664D" w:rsidRPr="001A0B66">
        <w:rPr>
          <w:rFonts w:ascii="FrankRuehl" w:hAnsi="FrankRuehl" w:cs="FrankRuehl"/>
          <w:sz w:val="28"/>
          <w:szCs w:val="28"/>
          <w:rtl/>
        </w:rPr>
        <w:t xml:space="preserve"> </w:t>
      </w:r>
      <w:r w:rsidR="00737A27" w:rsidRPr="001A0B66">
        <w:rPr>
          <w:rFonts w:ascii="FrankRuehl" w:hAnsi="FrankRuehl" w:cs="FrankRuehl"/>
          <w:sz w:val="28"/>
          <w:szCs w:val="28"/>
          <w:rtl/>
        </w:rPr>
        <w:t xml:space="preserve">במילים אחרות, </w:t>
      </w:r>
      <w:r w:rsidR="00FB664D" w:rsidRPr="001A0B66">
        <w:rPr>
          <w:rFonts w:ascii="FrankRuehl" w:hAnsi="FrankRuehl" w:cs="FrankRuehl"/>
          <w:sz w:val="28"/>
          <w:szCs w:val="28"/>
          <w:rtl/>
        </w:rPr>
        <w:t>אם החוק</w:t>
      </w:r>
      <w:r w:rsidR="002859D9" w:rsidRPr="001A0B66">
        <w:rPr>
          <w:rFonts w:ascii="FrankRuehl" w:hAnsi="FrankRuehl" w:cs="FrankRuehl"/>
          <w:sz w:val="28"/>
          <w:szCs w:val="28"/>
          <w:rtl/>
        </w:rPr>
        <w:t xml:space="preserve"> המוצע</w:t>
      </w:r>
      <w:r w:rsidR="00FB664D" w:rsidRPr="001A0B66">
        <w:rPr>
          <w:rFonts w:ascii="FrankRuehl" w:hAnsi="FrankRuehl" w:cs="FrankRuehl"/>
          <w:sz w:val="28"/>
          <w:szCs w:val="28"/>
          <w:rtl/>
        </w:rPr>
        <w:t xml:space="preserve"> יוחל</w:t>
      </w:r>
      <w:r w:rsidR="002859D9" w:rsidRPr="001A0B66">
        <w:rPr>
          <w:rFonts w:ascii="FrankRuehl" w:hAnsi="FrankRuehl" w:cs="FrankRuehl"/>
          <w:sz w:val="28"/>
          <w:szCs w:val="28"/>
          <w:rtl/>
        </w:rPr>
        <w:t xml:space="preserve"> </w:t>
      </w:r>
      <w:r w:rsidR="00737A27" w:rsidRPr="001A0B66">
        <w:rPr>
          <w:rFonts w:ascii="FrankRuehl" w:hAnsi="FrankRuehl" w:cs="FrankRuehl"/>
          <w:sz w:val="28"/>
          <w:szCs w:val="28"/>
          <w:rtl/>
        </w:rPr>
        <w:t xml:space="preserve">גם </w:t>
      </w:r>
      <w:r w:rsidR="002859D9" w:rsidRPr="001A0B66">
        <w:rPr>
          <w:rFonts w:ascii="FrankRuehl" w:hAnsi="FrankRuehl" w:cs="FrankRuehl"/>
          <w:sz w:val="28"/>
          <w:szCs w:val="28"/>
          <w:rtl/>
        </w:rPr>
        <w:t>מחוץ לישראל</w:t>
      </w:r>
      <w:r w:rsidR="00737A27" w:rsidRPr="001A0B66">
        <w:rPr>
          <w:rFonts w:ascii="FrankRuehl" w:hAnsi="FrankRuehl" w:cs="FrankRuehl"/>
          <w:sz w:val="28"/>
          <w:szCs w:val="28"/>
          <w:rtl/>
        </w:rPr>
        <w:t xml:space="preserve"> אך</w:t>
      </w:r>
      <w:r w:rsidR="002859D9" w:rsidRPr="001A0B66">
        <w:rPr>
          <w:rFonts w:ascii="FrankRuehl" w:hAnsi="FrankRuehl" w:cs="FrankRuehl"/>
          <w:sz w:val="28"/>
          <w:szCs w:val="28"/>
          <w:rtl/>
        </w:rPr>
        <w:t xml:space="preserve"> </w:t>
      </w:r>
      <w:r w:rsidR="00FB664D" w:rsidRPr="001A0B66">
        <w:rPr>
          <w:rFonts w:ascii="FrankRuehl" w:hAnsi="FrankRuehl" w:cs="FrankRuehl"/>
          <w:sz w:val="28"/>
          <w:szCs w:val="28"/>
          <w:rtl/>
        </w:rPr>
        <w:t xml:space="preserve">רק לגבי המתיישבים היהודים בשטחים (כפי שכבר נעשה לגבי הפעלת בתי המשפט הצבאיים </w:t>
      </w:r>
      <w:r w:rsidR="00737A27" w:rsidRPr="001A0B66">
        <w:rPr>
          <w:rFonts w:ascii="FrankRuehl" w:hAnsi="FrankRuehl" w:cs="FrankRuehl"/>
          <w:sz w:val="28"/>
          <w:szCs w:val="28"/>
          <w:rtl/>
        </w:rPr>
        <w:t>בשטחים</w:t>
      </w:r>
      <w:r w:rsidR="00FB664D" w:rsidRPr="001A0B66">
        <w:rPr>
          <w:rFonts w:ascii="FrankRuehl" w:hAnsi="FrankRuehl" w:cs="FrankRuehl"/>
          <w:sz w:val="28"/>
          <w:szCs w:val="28"/>
          <w:rtl/>
        </w:rPr>
        <w:t xml:space="preserve">), </w:t>
      </w:r>
      <w:r w:rsidR="00BA200C" w:rsidRPr="001A0B66">
        <w:rPr>
          <w:rFonts w:ascii="FrankRuehl" w:hAnsi="FrankRuehl" w:cs="FrankRuehl"/>
          <w:sz w:val="28"/>
          <w:szCs w:val="28"/>
          <w:rtl/>
        </w:rPr>
        <w:t xml:space="preserve">תהיה בכך החמרה של </w:t>
      </w:r>
      <w:r w:rsidR="00FB664D" w:rsidRPr="001A0B66">
        <w:rPr>
          <w:rFonts w:ascii="FrankRuehl" w:hAnsi="FrankRuehl" w:cs="FrankRuehl"/>
          <w:sz w:val="28"/>
          <w:szCs w:val="28"/>
          <w:rtl/>
        </w:rPr>
        <w:t>הסטנדר</w:t>
      </w:r>
      <w:r w:rsidR="003B1978">
        <w:rPr>
          <w:rFonts w:ascii="FrankRuehl" w:hAnsi="FrankRuehl" w:cs="FrankRuehl"/>
          <w:sz w:val="28"/>
          <w:szCs w:val="28"/>
          <w:rtl/>
        </w:rPr>
        <w:t>ט</w:t>
      </w:r>
      <w:r w:rsidR="00FB664D" w:rsidRPr="001A0B66">
        <w:rPr>
          <w:rFonts w:ascii="FrankRuehl" w:hAnsi="FrankRuehl" w:cs="FrankRuehl"/>
          <w:sz w:val="28"/>
          <w:szCs w:val="28"/>
          <w:rtl/>
        </w:rPr>
        <w:t xml:space="preserve"> הכפול ומערכת החוק הכפולה.</w:t>
      </w:r>
      <w:r w:rsidR="00FB664D" w:rsidRPr="001A0B66">
        <w:rPr>
          <w:rStyle w:val="FootnoteReference"/>
          <w:rFonts w:ascii="FrankRuehl" w:hAnsi="FrankRuehl" w:cs="FrankRuehl"/>
          <w:sz w:val="28"/>
          <w:szCs w:val="28"/>
          <w:rtl/>
        </w:rPr>
        <w:footnoteReference w:id="133"/>
      </w:r>
      <w:r w:rsidR="00914DF3" w:rsidRPr="001A0B66">
        <w:rPr>
          <w:rFonts w:ascii="FrankRuehl" w:hAnsi="FrankRuehl" w:cs="FrankRuehl"/>
          <w:sz w:val="28"/>
          <w:szCs w:val="28"/>
          <w:rtl/>
        </w:rPr>
        <w:t xml:space="preserve"> </w:t>
      </w:r>
    </w:p>
    <w:p w14:paraId="0A6C8679" w14:textId="77777777" w:rsidR="00EA607C" w:rsidRPr="001A0B66" w:rsidRDefault="00160B5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שלישית, צעדים של סיפוח דה-פקטו </w:t>
      </w:r>
      <w:r w:rsidR="006A5E99" w:rsidRPr="001A0B66">
        <w:rPr>
          <w:rFonts w:ascii="FrankRuehl" w:hAnsi="FrankRuehl" w:cs="FrankRuehl"/>
          <w:sz w:val="28"/>
          <w:szCs w:val="28"/>
          <w:rtl/>
        </w:rPr>
        <w:t xml:space="preserve">שאותם מפעילה ישראל </w:t>
      </w:r>
      <w:r w:rsidRPr="001A0B66">
        <w:rPr>
          <w:rFonts w:ascii="FrankRuehl" w:hAnsi="FrankRuehl" w:cs="FrankRuehl"/>
          <w:sz w:val="28"/>
          <w:szCs w:val="28"/>
          <w:rtl/>
        </w:rPr>
        <w:t xml:space="preserve">הם נרחבים בהרבה </w:t>
      </w:r>
      <w:r w:rsidR="00833E6D" w:rsidRPr="001A0B66">
        <w:rPr>
          <w:rFonts w:ascii="FrankRuehl" w:hAnsi="FrankRuehl" w:cs="FrankRuehl"/>
          <w:sz w:val="28"/>
          <w:szCs w:val="28"/>
          <w:rtl/>
        </w:rPr>
        <w:t xml:space="preserve">מהסדר מצומצם כמו זה המוצע כאן; </w:t>
      </w:r>
      <w:r w:rsidR="009C7D0B" w:rsidRPr="001A0B66">
        <w:rPr>
          <w:rFonts w:ascii="FrankRuehl" w:hAnsi="FrankRuehl" w:cs="FrankRuehl"/>
          <w:sz w:val="28"/>
          <w:szCs w:val="28"/>
          <w:rtl/>
        </w:rPr>
        <w:t>כדי לתת מענה</w:t>
      </w:r>
      <w:r w:rsidRPr="001A0B66">
        <w:rPr>
          <w:rFonts w:ascii="FrankRuehl" w:hAnsi="FrankRuehl" w:cs="FrankRuehl"/>
          <w:sz w:val="28"/>
          <w:szCs w:val="28"/>
          <w:rtl/>
        </w:rPr>
        <w:t xml:space="preserve"> לחלק מהבעיות של החלת </w:t>
      </w:r>
      <w:r w:rsidR="006A5E99" w:rsidRPr="001A0B66">
        <w:rPr>
          <w:rFonts w:ascii="FrankRuehl" w:hAnsi="FrankRuehl" w:cs="FrankRuehl"/>
          <w:sz w:val="28"/>
          <w:szCs w:val="28"/>
          <w:rtl/>
        </w:rPr>
        <w:t xml:space="preserve">ההסדר הישראלי </w:t>
      </w:r>
      <w:r w:rsidR="009C7D0B" w:rsidRPr="001A0B66">
        <w:rPr>
          <w:rFonts w:ascii="FrankRuehl" w:hAnsi="FrankRuehl" w:cs="FrankRuehl"/>
          <w:sz w:val="28"/>
          <w:szCs w:val="28"/>
          <w:rtl/>
        </w:rPr>
        <w:t>ש</w:t>
      </w:r>
      <w:r w:rsidR="006A5E99" w:rsidRPr="001A0B66">
        <w:rPr>
          <w:rFonts w:ascii="FrankRuehl" w:hAnsi="FrankRuehl" w:cs="FrankRuehl"/>
          <w:sz w:val="28"/>
          <w:szCs w:val="28"/>
          <w:rtl/>
        </w:rPr>
        <w:t>ל</w:t>
      </w:r>
      <w:r w:rsidR="009C7D0B" w:rsidRPr="001A0B66">
        <w:rPr>
          <w:rFonts w:ascii="FrankRuehl" w:hAnsi="FrankRuehl" w:cs="FrankRuehl"/>
          <w:sz w:val="28"/>
          <w:szCs w:val="28"/>
          <w:rtl/>
        </w:rPr>
        <w:t xml:space="preserve"> </w:t>
      </w:r>
      <w:r w:rsidR="006A5E99" w:rsidRPr="001A0B66">
        <w:rPr>
          <w:rFonts w:ascii="FrankRuehl" w:hAnsi="FrankRuehl" w:cs="FrankRuehl"/>
          <w:sz w:val="28"/>
          <w:szCs w:val="28"/>
          <w:rtl/>
        </w:rPr>
        <w:lastRenderedPageBreak/>
        <w:t>עורכי דין מיוחדים</w:t>
      </w:r>
      <w:r w:rsidR="00BA200C" w:rsidRPr="001A0B66">
        <w:rPr>
          <w:rFonts w:ascii="FrankRuehl" w:hAnsi="FrankRuehl" w:cs="FrankRuehl"/>
          <w:sz w:val="28"/>
          <w:szCs w:val="28"/>
          <w:rtl/>
        </w:rPr>
        <w:t xml:space="preserve"> על הפלסטינים בשטחים</w:t>
      </w:r>
      <w:r w:rsidR="006A5E99" w:rsidRPr="001A0B66">
        <w:rPr>
          <w:rFonts w:ascii="FrankRuehl" w:hAnsi="FrankRuehl" w:cs="FrankRuehl"/>
          <w:sz w:val="28"/>
          <w:szCs w:val="28"/>
          <w:rtl/>
        </w:rPr>
        <w:t xml:space="preserve">, </w:t>
      </w:r>
      <w:r w:rsidRPr="001A0B66">
        <w:rPr>
          <w:rFonts w:ascii="FrankRuehl" w:hAnsi="FrankRuehl" w:cs="FrankRuehl"/>
          <w:sz w:val="28"/>
          <w:szCs w:val="28"/>
          <w:rtl/>
        </w:rPr>
        <w:t>אנחנו מציעים מנגנון שלא יפנה אל החוק הישראלי</w:t>
      </w:r>
      <w:r w:rsidR="005862D2" w:rsidRPr="001A0B66">
        <w:rPr>
          <w:rFonts w:ascii="FrankRuehl" w:hAnsi="FrankRuehl" w:cs="FrankRuehl"/>
          <w:sz w:val="28"/>
          <w:szCs w:val="28"/>
          <w:rtl/>
        </w:rPr>
        <w:t xml:space="preserve"> </w:t>
      </w:r>
      <w:r w:rsidR="009C7D0B" w:rsidRPr="001A0B66">
        <w:rPr>
          <w:rFonts w:ascii="FrankRuehl" w:hAnsi="FrankRuehl" w:cs="FrankRuehl"/>
          <w:sz w:val="28"/>
          <w:szCs w:val="28"/>
          <w:rtl/>
        </w:rPr>
        <w:t xml:space="preserve">– </w:t>
      </w:r>
      <w:r w:rsidRPr="001A0B66">
        <w:rPr>
          <w:rFonts w:ascii="FrankRuehl" w:hAnsi="FrankRuehl" w:cs="FrankRuehl"/>
          <w:sz w:val="28"/>
          <w:szCs w:val="28"/>
          <w:rtl/>
        </w:rPr>
        <w:t xml:space="preserve">שאינו מוכר לעורכי דין פלסטינים, אלא </w:t>
      </w:r>
      <w:r w:rsidR="009C7D0B" w:rsidRPr="001A0B66">
        <w:rPr>
          <w:rFonts w:ascii="FrankRuehl" w:hAnsi="FrankRuehl" w:cs="FrankRuehl"/>
          <w:sz w:val="28"/>
          <w:szCs w:val="28"/>
          <w:rtl/>
        </w:rPr>
        <w:t xml:space="preserve">יתבסס </w:t>
      </w:r>
      <w:r w:rsidR="00737A27" w:rsidRPr="001A0B66">
        <w:rPr>
          <w:rFonts w:ascii="FrankRuehl" w:hAnsi="FrankRuehl" w:cs="FrankRuehl"/>
          <w:sz w:val="28"/>
          <w:szCs w:val="28"/>
          <w:rtl/>
        </w:rPr>
        <w:t xml:space="preserve">על תיקון תחיקת הביטחון של המפקד הצבאי בשטחים. מדובר באימוץ </w:t>
      </w:r>
      <w:r w:rsidRPr="001A0B66">
        <w:rPr>
          <w:rFonts w:ascii="FrankRuehl" w:hAnsi="FrankRuehl" w:cs="FrankRuehl"/>
          <w:sz w:val="28"/>
          <w:szCs w:val="28"/>
          <w:rtl/>
        </w:rPr>
        <w:t xml:space="preserve">הסדר </w:t>
      </w:r>
      <w:r w:rsidR="00737A27" w:rsidRPr="001A0B66">
        <w:rPr>
          <w:rFonts w:ascii="FrankRuehl" w:hAnsi="FrankRuehl" w:cs="FrankRuehl"/>
          <w:sz w:val="28"/>
          <w:szCs w:val="28"/>
          <w:rtl/>
        </w:rPr>
        <w:t>נפרד</w:t>
      </w:r>
      <w:r w:rsidRPr="001A0B66">
        <w:rPr>
          <w:rFonts w:ascii="FrankRuehl" w:hAnsi="FrankRuehl" w:cs="FrankRuehl"/>
          <w:sz w:val="28"/>
          <w:szCs w:val="28"/>
          <w:rtl/>
        </w:rPr>
        <w:t xml:space="preserve"> </w:t>
      </w:r>
      <w:r w:rsidR="009C7D0B" w:rsidRPr="001A0B66">
        <w:rPr>
          <w:rFonts w:ascii="FrankRuehl" w:hAnsi="FrankRuehl" w:cs="FrankRuehl"/>
          <w:sz w:val="28"/>
          <w:szCs w:val="28"/>
          <w:rtl/>
        </w:rPr>
        <w:t>ו</w:t>
      </w:r>
      <w:r w:rsidRPr="001A0B66">
        <w:rPr>
          <w:rFonts w:ascii="FrankRuehl" w:hAnsi="FrankRuehl" w:cs="FrankRuehl"/>
          <w:sz w:val="28"/>
          <w:szCs w:val="28"/>
          <w:rtl/>
        </w:rPr>
        <w:t xml:space="preserve">מותאם </w:t>
      </w:r>
      <w:r w:rsidR="00737A27" w:rsidRPr="001A0B66">
        <w:rPr>
          <w:rFonts w:ascii="FrankRuehl" w:hAnsi="FrankRuehl" w:cs="FrankRuehl"/>
          <w:sz w:val="28"/>
          <w:szCs w:val="28"/>
          <w:rtl/>
        </w:rPr>
        <w:t>באותה תחיקת ביטחון,</w:t>
      </w:r>
      <w:r w:rsidR="009C7D0B" w:rsidRPr="001A0B66">
        <w:rPr>
          <w:rFonts w:ascii="FrankRuehl" w:hAnsi="FrankRuehl" w:cs="FrankRuehl"/>
          <w:sz w:val="28"/>
          <w:szCs w:val="28"/>
          <w:rtl/>
        </w:rPr>
        <w:t xml:space="preserve"> כזה</w:t>
      </w:r>
      <w:r w:rsidR="00737A27" w:rsidRPr="001A0B66">
        <w:rPr>
          <w:rFonts w:ascii="FrankRuehl" w:hAnsi="FrankRuehl" w:cs="FrankRuehl"/>
          <w:sz w:val="28"/>
          <w:szCs w:val="28"/>
          <w:rtl/>
        </w:rPr>
        <w:t xml:space="preserve"> שיפנה </w:t>
      </w:r>
      <w:r w:rsidRPr="001A0B66">
        <w:rPr>
          <w:rFonts w:ascii="FrankRuehl" w:hAnsi="FrankRuehl" w:cs="FrankRuehl"/>
          <w:sz w:val="28"/>
          <w:szCs w:val="28"/>
          <w:rtl/>
        </w:rPr>
        <w:t>אל רשימת עורכי הדין שא</w:t>
      </w:r>
      <w:r w:rsidR="009C7D0B" w:rsidRPr="001A0B66">
        <w:rPr>
          <w:rFonts w:ascii="FrankRuehl" w:hAnsi="FrankRuehl" w:cs="FrankRuehl"/>
          <w:sz w:val="28"/>
          <w:szCs w:val="28"/>
          <w:rtl/>
        </w:rPr>
        <w:t>י</w:t>
      </w:r>
      <w:r w:rsidRPr="001A0B66">
        <w:rPr>
          <w:rFonts w:ascii="FrankRuehl" w:hAnsi="FrankRuehl" w:cs="FrankRuehl"/>
          <w:sz w:val="28"/>
          <w:szCs w:val="28"/>
          <w:rtl/>
        </w:rPr>
        <w:t>שר</w:t>
      </w:r>
      <w:r w:rsidR="009C7D0B" w:rsidRPr="001A0B66">
        <w:rPr>
          <w:rFonts w:ascii="FrankRuehl" w:hAnsi="FrankRuehl" w:cs="FrankRuehl"/>
          <w:sz w:val="28"/>
          <w:szCs w:val="28"/>
          <w:rtl/>
        </w:rPr>
        <w:t>ה</w:t>
      </w:r>
      <w:r w:rsidRPr="001A0B66">
        <w:rPr>
          <w:rFonts w:ascii="FrankRuehl" w:hAnsi="FrankRuehl" w:cs="FrankRuehl"/>
          <w:sz w:val="28"/>
          <w:szCs w:val="28"/>
          <w:rtl/>
        </w:rPr>
        <w:t xml:space="preserve"> הסנגוריה הציבורית. </w:t>
      </w:r>
      <w:r w:rsidR="009C7D0B" w:rsidRPr="001A0B66">
        <w:rPr>
          <w:rFonts w:ascii="FrankRuehl" w:hAnsi="FrankRuehl" w:cs="FrankRuehl"/>
          <w:sz w:val="28"/>
          <w:szCs w:val="28"/>
          <w:rtl/>
        </w:rPr>
        <w:t>כמו כן</w:t>
      </w:r>
      <w:r w:rsidR="00833E6D" w:rsidRPr="001A0B66">
        <w:rPr>
          <w:rFonts w:ascii="FrankRuehl" w:hAnsi="FrankRuehl" w:cs="FrankRuehl"/>
          <w:sz w:val="28"/>
          <w:szCs w:val="28"/>
          <w:rtl/>
        </w:rPr>
        <w:t xml:space="preserve">, </w:t>
      </w:r>
      <w:r w:rsidR="005B62A6" w:rsidRPr="001A0B66">
        <w:rPr>
          <w:rFonts w:ascii="FrankRuehl" w:hAnsi="FrankRuehl" w:cs="FrankRuehl"/>
          <w:sz w:val="28"/>
          <w:szCs w:val="28"/>
          <w:rtl/>
        </w:rPr>
        <w:t>בניגוד לתיקונים שעלולים להיות "קוסמטיים"</w:t>
      </w:r>
      <w:r w:rsidR="002859D9" w:rsidRPr="001A0B66">
        <w:rPr>
          <w:rFonts w:ascii="FrankRuehl" w:hAnsi="FrankRuehl" w:cs="FrankRuehl"/>
          <w:sz w:val="28"/>
          <w:szCs w:val="28"/>
          <w:rtl/>
        </w:rPr>
        <w:t>,</w:t>
      </w:r>
      <w:r w:rsidR="005B62A6" w:rsidRPr="001A0B66">
        <w:rPr>
          <w:rFonts w:ascii="FrankRuehl" w:hAnsi="FrankRuehl" w:cs="FrankRuehl"/>
          <w:sz w:val="28"/>
          <w:szCs w:val="28"/>
          <w:rtl/>
        </w:rPr>
        <w:t xml:space="preserve"> </w:t>
      </w:r>
      <w:r w:rsidR="006A5E99" w:rsidRPr="001A0B66">
        <w:rPr>
          <w:rFonts w:ascii="FrankRuehl" w:hAnsi="FrankRuehl" w:cs="FrankRuehl"/>
          <w:sz w:val="28"/>
          <w:szCs w:val="28"/>
          <w:rtl/>
        </w:rPr>
        <w:t xml:space="preserve">המנגנון </w:t>
      </w:r>
      <w:r w:rsidR="009C7D0B" w:rsidRPr="001A0B66">
        <w:rPr>
          <w:rFonts w:ascii="FrankRuehl" w:hAnsi="FrankRuehl" w:cs="FrankRuehl"/>
          <w:sz w:val="28"/>
          <w:szCs w:val="28"/>
          <w:rtl/>
        </w:rPr>
        <w:t>שנציע</w:t>
      </w:r>
      <w:r w:rsidR="00C7088C" w:rsidRPr="001A0B66">
        <w:rPr>
          <w:rFonts w:ascii="FrankRuehl" w:hAnsi="FrankRuehl" w:cs="FrankRuehl"/>
          <w:sz w:val="28"/>
          <w:szCs w:val="28"/>
          <w:rtl/>
        </w:rPr>
        <w:t xml:space="preserve"> להלן</w:t>
      </w:r>
      <w:r w:rsidR="006A5E99" w:rsidRPr="001A0B66">
        <w:rPr>
          <w:rFonts w:ascii="FrankRuehl" w:hAnsi="FrankRuehl" w:cs="FrankRuehl"/>
          <w:sz w:val="28"/>
          <w:szCs w:val="28"/>
          <w:rtl/>
        </w:rPr>
        <w:t xml:space="preserve"> דורש מחוי</w:t>
      </w:r>
      <w:r w:rsidRPr="001A0B66">
        <w:rPr>
          <w:rFonts w:ascii="FrankRuehl" w:hAnsi="FrankRuehl" w:cs="FrankRuehl"/>
          <w:sz w:val="28"/>
          <w:szCs w:val="28"/>
          <w:rtl/>
        </w:rPr>
        <w:t>בות של ממש מצד המערכת הצבאית להקצות כוח אדם מקצועי להגנה על עצורים פלסטינים</w:t>
      </w:r>
      <w:r w:rsidR="00F64E46" w:rsidRPr="001A0B66">
        <w:rPr>
          <w:rFonts w:ascii="FrankRuehl" w:hAnsi="FrankRuehl" w:cs="FrankRuehl"/>
          <w:sz w:val="28"/>
          <w:szCs w:val="28"/>
          <w:rtl/>
        </w:rPr>
        <w:t>:</w:t>
      </w:r>
      <w:r w:rsidRPr="001A0B66">
        <w:rPr>
          <w:rFonts w:ascii="FrankRuehl" w:hAnsi="FrankRuehl" w:cs="FrankRuehl"/>
          <w:sz w:val="28"/>
          <w:szCs w:val="28"/>
          <w:rtl/>
        </w:rPr>
        <w:t xml:space="preserve"> עורכי דין שיפעלו ל</w:t>
      </w:r>
      <w:r w:rsidR="002859D9" w:rsidRPr="001A0B66">
        <w:rPr>
          <w:rFonts w:ascii="FrankRuehl" w:hAnsi="FrankRuehl" w:cs="FrankRuehl"/>
          <w:sz w:val="28"/>
          <w:szCs w:val="28"/>
          <w:rtl/>
        </w:rPr>
        <w:t>פ</w:t>
      </w:r>
      <w:r w:rsidRPr="001A0B66">
        <w:rPr>
          <w:rFonts w:ascii="FrankRuehl" w:hAnsi="FrankRuehl" w:cs="FrankRuehl"/>
          <w:sz w:val="28"/>
          <w:szCs w:val="28"/>
          <w:rtl/>
        </w:rPr>
        <w:t>י מיטב שיפוטם המקצועי ו</w:t>
      </w:r>
      <w:r w:rsidR="009C7D0B" w:rsidRPr="001A0B66">
        <w:rPr>
          <w:rFonts w:ascii="FrankRuehl" w:hAnsi="FrankRuehl" w:cs="FrankRuehl"/>
          <w:sz w:val="28"/>
          <w:szCs w:val="28"/>
          <w:rtl/>
        </w:rPr>
        <w:t xml:space="preserve">אשר </w:t>
      </w:r>
      <w:r w:rsidRPr="001A0B66">
        <w:rPr>
          <w:rFonts w:ascii="FrankRuehl" w:hAnsi="FrankRuehl" w:cs="FrankRuehl"/>
          <w:sz w:val="28"/>
          <w:szCs w:val="28"/>
          <w:rtl/>
        </w:rPr>
        <w:t>עשויים לתרום תרומה של ממש.</w:t>
      </w:r>
      <w:r w:rsidR="00F936CB" w:rsidRPr="001A0B66">
        <w:rPr>
          <w:rStyle w:val="FootnoteReference"/>
          <w:rFonts w:ascii="FrankRuehl" w:hAnsi="FrankRuehl" w:cs="FrankRuehl"/>
          <w:sz w:val="28"/>
          <w:szCs w:val="28"/>
          <w:rtl/>
        </w:rPr>
        <w:footnoteReference w:id="134"/>
      </w:r>
      <w:r w:rsidR="00F936CB" w:rsidRPr="001A0B66">
        <w:rPr>
          <w:rFonts w:ascii="FrankRuehl" w:hAnsi="FrankRuehl" w:cs="FrankRuehl"/>
          <w:sz w:val="28"/>
          <w:szCs w:val="28"/>
          <w:rtl/>
        </w:rPr>
        <w:t xml:space="preserve"> </w:t>
      </w:r>
    </w:p>
    <w:p w14:paraId="006F8EC0" w14:textId="77777777" w:rsidR="00B93A68" w:rsidRPr="001A0B66" w:rsidRDefault="00B93A68"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בעיצוב ההסדר שנציע להלן ניסינו </w:t>
      </w:r>
      <w:r w:rsidR="00B90914" w:rsidRPr="001A0B66">
        <w:rPr>
          <w:rFonts w:ascii="FrankRuehl" w:hAnsi="FrankRuehl" w:cs="FrankRuehl"/>
          <w:sz w:val="28"/>
          <w:szCs w:val="28"/>
          <w:rtl/>
        </w:rPr>
        <w:t xml:space="preserve">להביא </w:t>
      </w:r>
      <w:r w:rsidRPr="001A0B66">
        <w:rPr>
          <w:rFonts w:ascii="FrankRuehl" w:hAnsi="FrankRuehl" w:cs="FrankRuehl"/>
          <w:sz w:val="28"/>
          <w:szCs w:val="28"/>
          <w:rtl/>
        </w:rPr>
        <w:t>בחשבון את פער הכוחות הדרמטי ואת המאפיינים המיוחדים של מערכת משפט שבה היריבות בין בית המשפט והתביעה לבין החשודים ועורכי דינם משתרעת הרבה מעבר לאולם המשפט ו</w:t>
      </w:r>
      <w:r w:rsidR="00B90914" w:rsidRPr="001A0B66">
        <w:rPr>
          <w:rFonts w:ascii="FrankRuehl" w:hAnsi="FrankRuehl" w:cs="FrankRuehl"/>
          <w:sz w:val="28"/>
          <w:szCs w:val="28"/>
          <w:rtl/>
        </w:rPr>
        <w:t>ש</w:t>
      </w:r>
      <w:r w:rsidRPr="001A0B66">
        <w:rPr>
          <w:rFonts w:ascii="FrankRuehl" w:hAnsi="FrankRuehl" w:cs="FrankRuehl"/>
          <w:sz w:val="28"/>
          <w:szCs w:val="28"/>
          <w:rtl/>
        </w:rPr>
        <w:t>נוכחים בה מאבק פוליטי</w:t>
      </w:r>
      <w:r w:rsidR="00271279" w:rsidRPr="001A0B66">
        <w:rPr>
          <w:rFonts w:ascii="FrankRuehl" w:hAnsi="FrankRuehl" w:cs="FrankRuehl"/>
          <w:sz w:val="28"/>
          <w:szCs w:val="28"/>
          <w:rtl/>
        </w:rPr>
        <w:t xml:space="preserve"> עז המלווה בשפיכות דמים</w:t>
      </w:r>
      <w:r w:rsidRPr="001A0B66">
        <w:rPr>
          <w:rFonts w:ascii="FrankRuehl" w:hAnsi="FrankRuehl" w:cs="FrankRuehl"/>
          <w:sz w:val="28"/>
          <w:szCs w:val="28"/>
          <w:rtl/>
        </w:rPr>
        <w:t xml:space="preserve">, </w:t>
      </w:r>
      <w:r w:rsidR="002F7D21" w:rsidRPr="001A0B66">
        <w:rPr>
          <w:rFonts w:ascii="FrankRuehl" w:hAnsi="FrankRuehl" w:cs="FrankRuehl"/>
          <w:sz w:val="28"/>
          <w:szCs w:val="28"/>
          <w:rtl/>
        </w:rPr>
        <w:t xml:space="preserve">העדר </w:t>
      </w:r>
      <w:r w:rsidRPr="001A0B66">
        <w:rPr>
          <w:rFonts w:ascii="FrankRuehl" w:hAnsi="FrankRuehl" w:cs="FrankRuehl"/>
          <w:sz w:val="28"/>
          <w:szCs w:val="28"/>
          <w:rtl/>
        </w:rPr>
        <w:t xml:space="preserve">מעמד אזרחי, שוני בשפה ובתרבות המשפטית </w:t>
      </w:r>
      <w:r w:rsidR="00B90914" w:rsidRPr="001A0B66">
        <w:rPr>
          <w:rFonts w:ascii="FrankRuehl" w:hAnsi="FrankRuehl" w:cs="FrankRuehl"/>
          <w:sz w:val="28"/>
          <w:szCs w:val="28"/>
          <w:rtl/>
        </w:rPr>
        <w:t>ויחסים ה</w:t>
      </w:r>
      <w:r w:rsidRPr="001A0B66">
        <w:rPr>
          <w:rFonts w:ascii="FrankRuehl" w:hAnsi="FrankRuehl" w:cs="FrankRuehl"/>
          <w:sz w:val="28"/>
          <w:szCs w:val="28"/>
          <w:rtl/>
        </w:rPr>
        <w:t>רוויים בחוסר אמון.</w:t>
      </w:r>
      <w:r w:rsidR="00B87943" w:rsidRPr="001A0B66">
        <w:rPr>
          <w:rFonts w:ascii="FrankRuehl" w:hAnsi="FrankRuehl" w:cs="FrankRuehl"/>
          <w:sz w:val="28"/>
          <w:szCs w:val="28"/>
          <w:rtl/>
        </w:rPr>
        <w:t xml:space="preserve"> </w:t>
      </w:r>
      <w:r w:rsidR="002B08E8" w:rsidRPr="001A0B66">
        <w:rPr>
          <w:rFonts w:ascii="FrankRuehl" w:hAnsi="FrankRuehl" w:cs="FrankRuehl"/>
          <w:sz w:val="28"/>
          <w:szCs w:val="28"/>
          <w:rtl/>
        </w:rPr>
        <w:t xml:space="preserve">לפיכך, </w:t>
      </w:r>
      <w:r w:rsidR="00B87943" w:rsidRPr="001A0B66">
        <w:rPr>
          <w:rFonts w:ascii="FrankRuehl" w:hAnsi="FrankRuehl" w:cs="FrankRuehl"/>
          <w:sz w:val="28"/>
          <w:szCs w:val="28"/>
          <w:rtl/>
        </w:rPr>
        <w:t>הנה המתווה שאנו מציעים.</w:t>
      </w:r>
    </w:p>
    <w:p w14:paraId="52C41778" w14:textId="77777777" w:rsidR="005C5FE2" w:rsidRPr="001A0B66" w:rsidRDefault="000D2217"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דרך המלך להח</w:t>
      </w:r>
      <w:r w:rsidR="00000FD8" w:rsidRPr="001A0B66">
        <w:rPr>
          <w:rFonts w:ascii="FrankRuehl" w:hAnsi="FrankRuehl" w:cs="FrankRuehl"/>
          <w:sz w:val="28"/>
          <w:szCs w:val="28"/>
          <w:rtl/>
        </w:rPr>
        <w:t>י</w:t>
      </w:r>
      <w:r w:rsidRPr="001A0B66">
        <w:rPr>
          <w:rFonts w:ascii="FrankRuehl" w:hAnsi="FrankRuehl" w:cs="FrankRuehl"/>
          <w:sz w:val="28"/>
          <w:szCs w:val="28"/>
          <w:rtl/>
        </w:rPr>
        <w:t>ל</w:t>
      </w:r>
      <w:r w:rsidR="00E32C86" w:rsidRPr="001A0B66">
        <w:rPr>
          <w:rFonts w:ascii="FrankRuehl" w:hAnsi="FrankRuehl" w:cs="FrankRuehl"/>
          <w:sz w:val="28"/>
          <w:szCs w:val="28"/>
          <w:rtl/>
        </w:rPr>
        <w:t xml:space="preserve"> </w:t>
      </w:r>
      <w:r w:rsidR="00000FD8" w:rsidRPr="001A0B66">
        <w:rPr>
          <w:rFonts w:ascii="FrankRuehl" w:hAnsi="FrankRuehl" w:cs="FrankRuehl"/>
          <w:sz w:val="28"/>
          <w:szCs w:val="28"/>
          <w:rtl/>
        </w:rPr>
        <w:t>את</w:t>
      </w:r>
      <w:r w:rsidR="00E32C86" w:rsidRPr="001A0B66">
        <w:rPr>
          <w:rFonts w:ascii="FrankRuehl" w:hAnsi="FrankRuehl" w:cs="FrankRuehl"/>
          <w:sz w:val="28"/>
          <w:szCs w:val="28"/>
          <w:rtl/>
        </w:rPr>
        <w:t xml:space="preserve"> </w:t>
      </w:r>
      <w:r w:rsidR="00AA6096" w:rsidRPr="001A0B66">
        <w:rPr>
          <w:rFonts w:ascii="FrankRuehl" w:hAnsi="FrankRuehl" w:cs="FrankRuehl"/>
          <w:sz w:val="28"/>
          <w:szCs w:val="28"/>
          <w:rtl/>
        </w:rPr>
        <w:t xml:space="preserve">מנגנון </w:t>
      </w:r>
      <w:r w:rsidR="00E32C86" w:rsidRPr="001A0B66">
        <w:rPr>
          <w:rFonts w:ascii="FrankRuehl" w:hAnsi="FrankRuehl" w:cs="FrankRuehl"/>
          <w:sz w:val="28"/>
          <w:szCs w:val="28"/>
          <w:rtl/>
        </w:rPr>
        <w:t>עורכי הדין המיוחדים</w:t>
      </w:r>
      <w:r w:rsidR="00F55270" w:rsidRPr="001A0B66">
        <w:rPr>
          <w:rFonts w:ascii="FrankRuehl" w:hAnsi="FrankRuehl" w:cs="FrankRuehl"/>
          <w:sz w:val="28"/>
          <w:szCs w:val="28"/>
          <w:rtl/>
        </w:rPr>
        <w:t xml:space="preserve"> בשטחים</w:t>
      </w:r>
      <w:r w:rsidRPr="001A0B66">
        <w:rPr>
          <w:rFonts w:ascii="FrankRuehl" w:hAnsi="FrankRuehl" w:cs="FrankRuehl"/>
          <w:sz w:val="28"/>
          <w:szCs w:val="28"/>
          <w:rtl/>
        </w:rPr>
        <w:t xml:space="preserve"> תהיה תיקון הצו </w:t>
      </w:r>
      <w:r w:rsidR="00376138" w:rsidRPr="001A0B66">
        <w:rPr>
          <w:rFonts w:ascii="FrankRuehl" w:hAnsi="FrankRuehl" w:cs="FrankRuehl"/>
          <w:sz w:val="28"/>
          <w:szCs w:val="28"/>
          <w:rtl/>
        </w:rPr>
        <w:t xml:space="preserve">בדבר הוראת ביטחון [נוסח משולב] (יהודה והשומרון) (מס' 1651), </w:t>
      </w:r>
      <w:proofErr w:type="spellStart"/>
      <w:r w:rsidR="00000FD8" w:rsidRPr="001A0B66">
        <w:rPr>
          <w:rFonts w:ascii="FrankRuehl" w:hAnsi="FrankRuehl" w:cs="FrankRuehl"/>
          <w:sz w:val="28"/>
          <w:szCs w:val="28"/>
          <w:rtl/>
        </w:rPr>
        <w:t>ה</w:t>
      </w:r>
      <w:r w:rsidR="00376138" w:rsidRPr="001A0B66">
        <w:rPr>
          <w:rFonts w:ascii="FrankRuehl" w:hAnsi="FrankRuehl" w:cs="FrankRuehl"/>
          <w:sz w:val="28"/>
          <w:szCs w:val="28"/>
          <w:rtl/>
        </w:rPr>
        <w:t>תש"ע</w:t>
      </w:r>
      <w:proofErr w:type="spellEnd"/>
      <w:r w:rsidR="00000FD8" w:rsidRPr="001A0B66">
        <w:rPr>
          <w:rFonts w:ascii="FrankRuehl" w:hAnsi="FrankRuehl" w:cs="FrankRuehl"/>
          <w:sz w:val="28"/>
          <w:szCs w:val="28"/>
          <w:rtl/>
        </w:rPr>
        <w:t>–</w:t>
      </w:r>
      <w:r w:rsidR="00376138" w:rsidRPr="001A0B66">
        <w:rPr>
          <w:rFonts w:ascii="FrankRuehl" w:hAnsi="FrankRuehl" w:cs="FrankRuehl"/>
          <w:sz w:val="28"/>
          <w:szCs w:val="28"/>
          <w:rtl/>
        </w:rPr>
        <w:t xml:space="preserve">2009, </w:t>
      </w:r>
      <w:r w:rsidRPr="001A0B66">
        <w:rPr>
          <w:rFonts w:ascii="FrankRuehl" w:hAnsi="FrankRuehl" w:cs="FrankRuehl"/>
          <w:sz w:val="28"/>
          <w:szCs w:val="28"/>
          <w:rtl/>
        </w:rPr>
        <w:t>המאגד את ההסדרים בדבר תחיקה ב</w:t>
      </w:r>
      <w:r w:rsidR="00CD297D" w:rsidRPr="001A0B66">
        <w:rPr>
          <w:rFonts w:ascii="FrankRuehl" w:hAnsi="FrankRuehl" w:cs="FrankRuehl"/>
          <w:sz w:val="28"/>
          <w:szCs w:val="28"/>
          <w:rtl/>
        </w:rPr>
        <w:t>י</w:t>
      </w:r>
      <w:r w:rsidRPr="001A0B66">
        <w:rPr>
          <w:rFonts w:ascii="FrankRuehl" w:hAnsi="FrankRuehl" w:cs="FrankRuehl"/>
          <w:sz w:val="28"/>
          <w:szCs w:val="28"/>
          <w:rtl/>
        </w:rPr>
        <w:t xml:space="preserve">טחונית בשטחים, כך שיכלול מנגנון </w:t>
      </w:r>
      <w:r w:rsidR="00CA4E56" w:rsidRPr="001A0B66">
        <w:rPr>
          <w:rFonts w:ascii="FrankRuehl" w:hAnsi="FrankRuehl" w:cs="FrankRuehl"/>
          <w:sz w:val="28"/>
          <w:szCs w:val="28"/>
          <w:rtl/>
        </w:rPr>
        <w:t xml:space="preserve">מקביל </w:t>
      </w:r>
      <w:r w:rsidRPr="001A0B66">
        <w:rPr>
          <w:rFonts w:ascii="FrankRuehl" w:hAnsi="FrankRuehl" w:cs="FrankRuehl"/>
          <w:sz w:val="28"/>
          <w:szCs w:val="28"/>
          <w:rtl/>
        </w:rPr>
        <w:t>של מינוי עורך דין מיוחד בהליכי</w:t>
      </w:r>
      <w:r w:rsidR="00AA6096" w:rsidRPr="001A0B66">
        <w:rPr>
          <w:rFonts w:ascii="FrankRuehl" w:hAnsi="FrankRuehl" w:cs="FrankRuehl"/>
          <w:sz w:val="28"/>
          <w:szCs w:val="28"/>
          <w:rtl/>
        </w:rPr>
        <w:t xml:space="preserve"> ביקורת שיפוטית</w:t>
      </w:r>
      <w:r w:rsidRPr="001A0B66">
        <w:rPr>
          <w:rFonts w:ascii="FrankRuehl" w:hAnsi="FrankRuehl" w:cs="FrankRuehl"/>
          <w:sz w:val="28"/>
          <w:szCs w:val="28"/>
          <w:rtl/>
        </w:rPr>
        <w:t xml:space="preserve"> המערבים חומר חסוי. </w:t>
      </w:r>
      <w:r w:rsidR="00F55270" w:rsidRPr="001A0B66">
        <w:rPr>
          <w:rFonts w:ascii="FrankRuehl" w:hAnsi="FrankRuehl" w:cs="FrankRuehl"/>
          <w:sz w:val="28"/>
          <w:szCs w:val="28"/>
          <w:rtl/>
        </w:rPr>
        <w:t>כיום קיים בצו בדבר הוראות ביטחון</w:t>
      </w:r>
      <w:r w:rsidR="005C5FE2" w:rsidRPr="001A0B66">
        <w:rPr>
          <w:rFonts w:ascii="FrankRuehl" w:hAnsi="FrankRuehl" w:cs="FrankRuehl"/>
          <w:sz w:val="28"/>
          <w:szCs w:val="28"/>
          <w:rtl/>
        </w:rPr>
        <w:t xml:space="preserve"> מנגנון </w:t>
      </w:r>
      <w:r w:rsidR="00B047BB" w:rsidRPr="001A0B66">
        <w:rPr>
          <w:rFonts w:ascii="FrankRuehl" w:hAnsi="FrankRuehl" w:cs="FrankRuehl"/>
          <w:sz w:val="28"/>
          <w:szCs w:val="28"/>
          <w:rtl/>
        </w:rPr>
        <w:t>ש</w:t>
      </w:r>
      <w:r w:rsidR="005E0DFD" w:rsidRPr="001A0B66">
        <w:rPr>
          <w:rFonts w:ascii="FrankRuehl" w:hAnsi="FrankRuehl" w:cs="FrankRuehl"/>
          <w:sz w:val="28"/>
          <w:szCs w:val="28"/>
          <w:rtl/>
        </w:rPr>
        <w:t>על פיו ממנה בית המשפט הצבאי סנגור ששכרו משולם מקופת בית המשפט</w:t>
      </w:r>
      <w:r w:rsidR="005C5FE2" w:rsidRPr="001A0B66">
        <w:rPr>
          <w:rFonts w:ascii="FrankRuehl" w:hAnsi="FrankRuehl" w:cs="FrankRuehl"/>
          <w:sz w:val="28"/>
          <w:szCs w:val="28"/>
          <w:rtl/>
        </w:rPr>
        <w:t>; אולם</w:t>
      </w:r>
      <w:r w:rsidR="005E0DFD" w:rsidRPr="001A0B66">
        <w:rPr>
          <w:rFonts w:ascii="FrankRuehl" w:hAnsi="FrankRuehl" w:cs="FrankRuehl"/>
          <w:sz w:val="28"/>
          <w:szCs w:val="28"/>
          <w:rtl/>
        </w:rPr>
        <w:t xml:space="preserve"> </w:t>
      </w:r>
      <w:r w:rsidR="00F55270" w:rsidRPr="001A0B66">
        <w:rPr>
          <w:rFonts w:ascii="FrankRuehl" w:hAnsi="FrankRuehl" w:cs="FrankRuehl"/>
          <w:sz w:val="28"/>
          <w:szCs w:val="28"/>
          <w:rtl/>
        </w:rPr>
        <w:t>אין בצו כל הוראה ביחס לדרישת סיווג ביטחוני</w:t>
      </w:r>
      <w:r w:rsidR="005E0DFD" w:rsidRPr="001A0B66">
        <w:rPr>
          <w:rFonts w:ascii="FrankRuehl" w:hAnsi="FrankRuehl" w:cs="FrankRuehl"/>
          <w:sz w:val="28"/>
          <w:szCs w:val="28"/>
          <w:rtl/>
        </w:rPr>
        <w:t xml:space="preserve"> מעורכי דין</w:t>
      </w:r>
      <w:r w:rsidR="00F55270" w:rsidRPr="001A0B66">
        <w:rPr>
          <w:rFonts w:ascii="FrankRuehl" w:hAnsi="FrankRuehl" w:cs="FrankRuehl"/>
          <w:sz w:val="28"/>
          <w:szCs w:val="28"/>
          <w:rtl/>
        </w:rPr>
        <w:t>, ובפועל מנגנון זה כמעט שאינו בשימוש.</w:t>
      </w:r>
      <w:r w:rsidR="00F936CB" w:rsidRPr="001A0B66">
        <w:rPr>
          <w:rStyle w:val="FootnoteReference"/>
          <w:rFonts w:ascii="FrankRuehl" w:hAnsi="FrankRuehl" w:cs="FrankRuehl"/>
          <w:sz w:val="28"/>
          <w:szCs w:val="28"/>
          <w:rtl/>
        </w:rPr>
        <w:footnoteReference w:id="135"/>
      </w:r>
    </w:p>
    <w:p w14:paraId="47C52784" w14:textId="77777777" w:rsidR="001021B8" w:rsidRPr="001A0B66" w:rsidRDefault="00F55270"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בגלל אופיו של תפקיד הסנגור המיוחד</w:t>
      </w:r>
      <w:r w:rsidR="00632080" w:rsidRPr="001A0B66">
        <w:rPr>
          <w:rFonts w:ascii="FrankRuehl" w:hAnsi="FrankRuehl" w:cs="FrankRuehl"/>
          <w:sz w:val="28"/>
          <w:szCs w:val="28"/>
          <w:rtl/>
        </w:rPr>
        <w:t xml:space="preserve"> והדרישה לסיווג ביטחוני, </w:t>
      </w:r>
      <w:r w:rsidR="00BA200C" w:rsidRPr="001A0B66">
        <w:rPr>
          <w:rFonts w:ascii="FrankRuehl" w:hAnsi="FrankRuehl" w:cs="FrankRuehl"/>
          <w:sz w:val="28"/>
          <w:szCs w:val="28"/>
          <w:rtl/>
        </w:rPr>
        <w:t xml:space="preserve">המנגנון הנזכר </w:t>
      </w:r>
      <w:r w:rsidR="005862D2" w:rsidRPr="001A0B66">
        <w:rPr>
          <w:rFonts w:ascii="FrankRuehl" w:hAnsi="FrankRuehl" w:cs="FrankRuehl"/>
          <w:sz w:val="28"/>
          <w:szCs w:val="28"/>
          <w:rtl/>
        </w:rPr>
        <w:t xml:space="preserve">לבדו </w:t>
      </w:r>
      <w:r w:rsidR="00632080" w:rsidRPr="001A0B66">
        <w:rPr>
          <w:rFonts w:ascii="FrankRuehl" w:hAnsi="FrankRuehl" w:cs="FrankRuehl"/>
          <w:sz w:val="28"/>
          <w:szCs w:val="28"/>
          <w:rtl/>
        </w:rPr>
        <w:t>אינו מתאים ליישום</w:t>
      </w:r>
      <w:r w:rsidR="00A11DEA" w:rsidRPr="001A0B66">
        <w:rPr>
          <w:rFonts w:ascii="FrankRuehl" w:hAnsi="FrankRuehl" w:cs="FrankRuehl"/>
          <w:sz w:val="28"/>
          <w:szCs w:val="28"/>
          <w:rtl/>
        </w:rPr>
        <w:t xml:space="preserve"> לענייננו</w:t>
      </w:r>
      <w:r w:rsidR="00632080" w:rsidRPr="001A0B66">
        <w:rPr>
          <w:rFonts w:ascii="FrankRuehl" w:hAnsi="FrankRuehl" w:cs="FrankRuehl"/>
          <w:sz w:val="28"/>
          <w:szCs w:val="28"/>
          <w:rtl/>
        </w:rPr>
        <w:t xml:space="preserve">. </w:t>
      </w:r>
      <w:r w:rsidR="005E0DFD" w:rsidRPr="001A0B66">
        <w:rPr>
          <w:rFonts w:ascii="FrankRuehl" w:hAnsi="FrankRuehl" w:cs="FrankRuehl"/>
          <w:sz w:val="28"/>
          <w:szCs w:val="28"/>
          <w:rtl/>
        </w:rPr>
        <w:t xml:space="preserve">מטעמים הקשורים לסיווג ביטחוני </w:t>
      </w:r>
      <w:r w:rsidR="005C5FE2" w:rsidRPr="001A0B66">
        <w:rPr>
          <w:rFonts w:ascii="FrankRuehl" w:hAnsi="FrankRuehl" w:cs="FrankRuehl"/>
          <w:sz w:val="28"/>
          <w:szCs w:val="28"/>
          <w:rtl/>
        </w:rPr>
        <w:t xml:space="preserve">אי אפשר </w:t>
      </w:r>
      <w:r w:rsidR="005E0DFD" w:rsidRPr="001A0B66">
        <w:rPr>
          <w:rFonts w:ascii="FrankRuehl" w:hAnsi="FrankRuehl" w:cs="FrankRuehl"/>
          <w:sz w:val="28"/>
          <w:szCs w:val="28"/>
          <w:rtl/>
        </w:rPr>
        <w:t>להניח שעורכי דין פלסטינים</w:t>
      </w:r>
      <w:r w:rsidR="005C5FE2" w:rsidRPr="001A0B66">
        <w:rPr>
          <w:rFonts w:ascii="FrankRuehl" w:hAnsi="FrankRuehl" w:cs="FrankRuehl"/>
          <w:sz w:val="28"/>
          <w:szCs w:val="28"/>
          <w:rtl/>
        </w:rPr>
        <w:t xml:space="preserve"> –</w:t>
      </w:r>
      <w:r w:rsidR="005E0DFD" w:rsidRPr="001A0B66">
        <w:rPr>
          <w:rFonts w:ascii="FrankRuehl" w:hAnsi="FrankRuehl" w:cs="FrankRuehl"/>
          <w:sz w:val="28"/>
          <w:szCs w:val="28"/>
          <w:rtl/>
        </w:rPr>
        <w:t xml:space="preserve"> המעניקים את מרבית הייצוג המשפטי בשטחים</w:t>
      </w:r>
      <w:r w:rsidR="005C5FE2" w:rsidRPr="001A0B66">
        <w:rPr>
          <w:rFonts w:ascii="FrankRuehl" w:hAnsi="FrankRuehl" w:cs="FrankRuehl"/>
          <w:sz w:val="28"/>
          <w:szCs w:val="28"/>
          <w:rtl/>
        </w:rPr>
        <w:t xml:space="preserve"> –</w:t>
      </w:r>
      <w:r w:rsidR="005E0DFD" w:rsidRPr="001A0B66">
        <w:rPr>
          <w:rFonts w:ascii="FrankRuehl" w:hAnsi="FrankRuehl" w:cs="FrankRuehl"/>
          <w:sz w:val="28"/>
          <w:szCs w:val="28"/>
          <w:rtl/>
        </w:rPr>
        <w:t xml:space="preserve"> יוכלו להתמנות כעורכי דין מיוחדים. </w:t>
      </w:r>
      <w:r w:rsidR="00F732F6" w:rsidRPr="001A0B66">
        <w:rPr>
          <w:rFonts w:ascii="FrankRuehl" w:hAnsi="FrankRuehl" w:cs="FrankRuehl"/>
          <w:sz w:val="28"/>
          <w:szCs w:val="28"/>
          <w:rtl/>
        </w:rPr>
        <w:t xml:space="preserve">זהו קושי מובנה במערכת זו </w:t>
      </w:r>
      <w:r w:rsidR="005C5FE2" w:rsidRPr="001A0B66">
        <w:rPr>
          <w:rFonts w:ascii="FrankRuehl" w:hAnsi="FrankRuehl" w:cs="FrankRuehl"/>
          <w:sz w:val="28"/>
          <w:szCs w:val="28"/>
          <w:rtl/>
        </w:rPr>
        <w:t>ו</w:t>
      </w:r>
      <w:r w:rsidR="00F732F6" w:rsidRPr="001A0B66">
        <w:rPr>
          <w:rFonts w:ascii="FrankRuehl" w:hAnsi="FrankRuehl" w:cs="FrankRuehl"/>
          <w:sz w:val="28"/>
          <w:szCs w:val="28"/>
          <w:rtl/>
        </w:rPr>
        <w:t xml:space="preserve">להערכתנו </w:t>
      </w:r>
      <w:r w:rsidR="005C5FE2" w:rsidRPr="001A0B66">
        <w:rPr>
          <w:rFonts w:ascii="FrankRuehl" w:hAnsi="FrankRuehl" w:cs="FrankRuehl"/>
          <w:sz w:val="28"/>
          <w:szCs w:val="28"/>
          <w:rtl/>
        </w:rPr>
        <w:t>אי אפשר</w:t>
      </w:r>
      <w:r w:rsidR="00F732F6" w:rsidRPr="001A0B66">
        <w:rPr>
          <w:rFonts w:ascii="FrankRuehl" w:hAnsi="FrankRuehl" w:cs="FrankRuehl"/>
          <w:sz w:val="28"/>
          <w:szCs w:val="28"/>
          <w:rtl/>
        </w:rPr>
        <w:t xml:space="preserve"> לע</w:t>
      </w:r>
      <w:r w:rsidR="002859D9" w:rsidRPr="001A0B66">
        <w:rPr>
          <w:rFonts w:ascii="FrankRuehl" w:hAnsi="FrankRuehl" w:cs="FrankRuehl"/>
          <w:sz w:val="28"/>
          <w:szCs w:val="28"/>
          <w:rtl/>
        </w:rPr>
        <w:t>וקפו</w:t>
      </w:r>
      <w:r w:rsidR="00F732F6" w:rsidRPr="001A0B66">
        <w:rPr>
          <w:rFonts w:ascii="FrankRuehl" w:hAnsi="FrankRuehl" w:cs="FrankRuehl"/>
          <w:sz w:val="28"/>
          <w:szCs w:val="28"/>
          <w:rtl/>
        </w:rPr>
        <w:t xml:space="preserve">. </w:t>
      </w:r>
      <w:r w:rsidR="005E0DFD" w:rsidRPr="001A0B66">
        <w:rPr>
          <w:rFonts w:ascii="FrankRuehl" w:hAnsi="FrankRuehl" w:cs="FrankRuehl"/>
          <w:sz w:val="28"/>
          <w:szCs w:val="28"/>
          <w:rtl/>
        </w:rPr>
        <w:t>לכן</w:t>
      </w:r>
      <w:r w:rsidR="005C5FE2" w:rsidRPr="001A0B66">
        <w:rPr>
          <w:rFonts w:ascii="FrankRuehl" w:hAnsi="FrankRuehl" w:cs="FrankRuehl"/>
          <w:sz w:val="28"/>
          <w:szCs w:val="28"/>
          <w:rtl/>
        </w:rPr>
        <w:t>, וכדי להימנע מכפל מנגנונים מלאכותי,</w:t>
      </w:r>
      <w:r w:rsidR="005E0DFD" w:rsidRPr="001A0B66">
        <w:rPr>
          <w:rFonts w:ascii="FrankRuehl" w:hAnsi="FrankRuehl" w:cs="FrankRuehl"/>
          <w:sz w:val="28"/>
          <w:szCs w:val="28"/>
          <w:rtl/>
        </w:rPr>
        <w:t xml:space="preserve"> אנו מציעים ש</w:t>
      </w:r>
      <w:r w:rsidR="001021B8" w:rsidRPr="001A0B66">
        <w:rPr>
          <w:rFonts w:ascii="FrankRuehl" w:hAnsi="FrankRuehl" w:cs="FrankRuehl"/>
          <w:sz w:val="28"/>
          <w:szCs w:val="28"/>
          <w:rtl/>
        </w:rPr>
        <w:t xml:space="preserve">העצור או </w:t>
      </w:r>
      <w:r w:rsidR="005E0DFD" w:rsidRPr="001A0B66">
        <w:rPr>
          <w:rFonts w:ascii="FrankRuehl" w:hAnsi="FrankRuehl" w:cs="FrankRuehl"/>
          <w:sz w:val="28"/>
          <w:szCs w:val="28"/>
          <w:rtl/>
        </w:rPr>
        <w:t>בית המשפט הצבאי ימנ</w:t>
      </w:r>
      <w:r w:rsidR="005862D2" w:rsidRPr="001A0B66">
        <w:rPr>
          <w:rFonts w:ascii="FrankRuehl" w:hAnsi="FrankRuehl" w:cs="FrankRuehl"/>
          <w:sz w:val="28"/>
          <w:szCs w:val="28"/>
          <w:rtl/>
        </w:rPr>
        <w:t>ו</w:t>
      </w:r>
      <w:r w:rsidR="005E0DFD" w:rsidRPr="001A0B66">
        <w:rPr>
          <w:rFonts w:ascii="FrankRuehl" w:hAnsi="FrankRuehl" w:cs="FrankRuehl"/>
          <w:sz w:val="28"/>
          <w:szCs w:val="28"/>
          <w:rtl/>
        </w:rPr>
        <w:t xml:space="preserve"> </w:t>
      </w:r>
      <w:r w:rsidR="00195803" w:rsidRPr="001A0B66">
        <w:rPr>
          <w:rFonts w:ascii="FrankRuehl" w:hAnsi="FrankRuehl" w:cs="FrankRuehl"/>
          <w:sz w:val="28"/>
          <w:szCs w:val="28"/>
          <w:rtl/>
        </w:rPr>
        <w:t>לתפקיד עורכי דין מיוחדים פרטי</w:t>
      </w:r>
      <w:r w:rsidR="00D04E7C" w:rsidRPr="001A0B66">
        <w:rPr>
          <w:rFonts w:ascii="FrankRuehl" w:hAnsi="FrankRuehl" w:cs="FrankRuehl"/>
          <w:sz w:val="28"/>
          <w:szCs w:val="28"/>
          <w:rtl/>
        </w:rPr>
        <w:t>י</w:t>
      </w:r>
      <w:r w:rsidR="00195803" w:rsidRPr="001A0B66">
        <w:rPr>
          <w:rFonts w:ascii="FrankRuehl" w:hAnsi="FrankRuehl" w:cs="FrankRuehl"/>
          <w:sz w:val="28"/>
          <w:szCs w:val="28"/>
          <w:rtl/>
        </w:rPr>
        <w:t xml:space="preserve">ם </w:t>
      </w:r>
      <w:r w:rsidR="00407A5A" w:rsidRPr="001A0B66">
        <w:rPr>
          <w:rFonts w:ascii="FrankRuehl" w:hAnsi="FrankRuehl" w:cs="FrankRuehl"/>
          <w:sz w:val="28"/>
          <w:szCs w:val="28"/>
          <w:rtl/>
        </w:rPr>
        <w:t xml:space="preserve">מקרב </w:t>
      </w:r>
      <w:r w:rsidR="005E0DFD" w:rsidRPr="001A0B66">
        <w:rPr>
          <w:rFonts w:ascii="FrankRuehl" w:hAnsi="FrankRuehl" w:cs="FrankRuehl"/>
          <w:sz w:val="28"/>
          <w:szCs w:val="28"/>
          <w:rtl/>
        </w:rPr>
        <w:t xml:space="preserve">עורכי דין מיוחדים שאושרו </w:t>
      </w:r>
      <w:r w:rsidR="00262E42" w:rsidRPr="001A0B66">
        <w:rPr>
          <w:rFonts w:ascii="FrankRuehl" w:hAnsi="FrankRuehl" w:cs="FrankRuehl"/>
          <w:sz w:val="28"/>
          <w:szCs w:val="28"/>
          <w:rtl/>
        </w:rPr>
        <w:t xml:space="preserve">ככאלה </w:t>
      </w:r>
      <w:r w:rsidR="005E0DFD" w:rsidRPr="001A0B66">
        <w:rPr>
          <w:rFonts w:ascii="FrankRuehl" w:hAnsi="FrankRuehl" w:cs="FrankRuehl"/>
          <w:sz w:val="28"/>
          <w:szCs w:val="28"/>
          <w:rtl/>
        </w:rPr>
        <w:t xml:space="preserve">בישראל מכוח </w:t>
      </w:r>
      <w:r w:rsidR="00F64E46" w:rsidRPr="001A0B66">
        <w:rPr>
          <w:rFonts w:ascii="FrankRuehl" w:hAnsi="FrankRuehl" w:cs="FrankRuehl"/>
          <w:sz w:val="28"/>
          <w:szCs w:val="28"/>
          <w:rtl/>
        </w:rPr>
        <w:t>ההסדר</w:t>
      </w:r>
      <w:r w:rsidR="002859D9" w:rsidRPr="001A0B66">
        <w:rPr>
          <w:rFonts w:ascii="FrankRuehl" w:hAnsi="FrankRuehl" w:cs="FrankRuehl"/>
          <w:sz w:val="28"/>
          <w:szCs w:val="28"/>
          <w:rtl/>
        </w:rPr>
        <w:t xml:space="preserve"> שאותו </w:t>
      </w:r>
      <w:r w:rsidR="00F64E46" w:rsidRPr="001A0B66">
        <w:rPr>
          <w:rFonts w:ascii="FrankRuehl" w:hAnsi="FrankRuehl" w:cs="FrankRuehl"/>
          <w:sz w:val="28"/>
          <w:szCs w:val="28"/>
          <w:rtl/>
        </w:rPr>
        <w:t>הצענו לעיל</w:t>
      </w:r>
      <w:r w:rsidR="005E0DFD" w:rsidRPr="001A0B66">
        <w:rPr>
          <w:rFonts w:ascii="FrankRuehl" w:hAnsi="FrankRuehl" w:cs="FrankRuehl"/>
          <w:sz w:val="28"/>
          <w:szCs w:val="28"/>
          <w:rtl/>
        </w:rPr>
        <w:t xml:space="preserve">. </w:t>
      </w:r>
      <w:r w:rsidR="002859D9" w:rsidRPr="001A0B66">
        <w:rPr>
          <w:rFonts w:ascii="FrankRuehl" w:hAnsi="FrankRuehl" w:cs="FrankRuehl"/>
          <w:sz w:val="28"/>
          <w:szCs w:val="28"/>
          <w:rtl/>
        </w:rPr>
        <w:t xml:space="preserve">אולם </w:t>
      </w:r>
      <w:r w:rsidR="001021B8" w:rsidRPr="001A0B66">
        <w:rPr>
          <w:rFonts w:ascii="FrankRuehl" w:hAnsi="FrankRuehl" w:cs="FrankRuehl"/>
          <w:sz w:val="28"/>
          <w:szCs w:val="28"/>
          <w:rtl/>
        </w:rPr>
        <w:t>לאור מספר</w:t>
      </w:r>
      <w:r w:rsidR="00F20437" w:rsidRPr="001A0B66">
        <w:rPr>
          <w:rFonts w:ascii="FrankRuehl" w:hAnsi="FrankRuehl" w:cs="FrankRuehl"/>
          <w:sz w:val="28"/>
          <w:szCs w:val="28"/>
          <w:rtl/>
        </w:rPr>
        <w:t xml:space="preserve">ם </w:t>
      </w:r>
      <w:r w:rsidR="005C5FE2" w:rsidRPr="001A0B66">
        <w:rPr>
          <w:rFonts w:ascii="FrankRuehl" w:hAnsi="FrankRuehl" w:cs="FrankRuehl"/>
          <w:sz w:val="28"/>
          <w:szCs w:val="28"/>
          <w:rtl/>
        </w:rPr>
        <w:t xml:space="preserve">הרב </w:t>
      </w:r>
      <w:r w:rsidR="00F20437" w:rsidRPr="001A0B66">
        <w:rPr>
          <w:rFonts w:ascii="FrankRuehl" w:hAnsi="FrankRuehl" w:cs="FrankRuehl"/>
          <w:sz w:val="28"/>
          <w:szCs w:val="28"/>
          <w:rtl/>
        </w:rPr>
        <w:t>של</w:t>
      </w:r>
      <w:r w:rsidR="001021B8" w:rsidRPr="001A0B66">
        <w:rPr>
          <w:rFonts w:ascii="FrankRuehl" w:hAnsi="FrankRuehl" w:cs="FrankRuehl"/>
          <w:sz w:val="28"/>
          <w:szCs w:val="28"/>
          <w:rtl/>
        </w:rPr>
        <w:t xml:space="preserve"> המעצרים </w:t>
      </w:r>
      <w:r w:rsidR="00F20437" w:rsidRPr="001A0B66">
        <w:rPr>
          <w:rFonts w:ascii="FrankRuehl" w:hAnsi="FrankRuehl" w:cs="FrankRuehl"/>
          <w:sz w:val="28"/>
          <w:szCs w:val="28"/>
          <w:rtl/>
        </w:rPr>
        <w:t xml:space="preserve">המנהליים (בעיקר </w:t>
      </w:r>
      <w:proofErr w:type="spellStart"/>
      <w:r w:rsidR="00F20437" w:rsidRPr="001A0B66">
        <w:rPr>
          <w:rFonts w:ascii="FrankRuehl" w:hAnsi="FrankRuehl" w:cs="FrankRuehl"/>
          <w:sz w:val="28"/>
          <w:szCs w:val="28"/>
          <w:rtl/>
        </w:rPr>
        <w:t>בע</w:t>
      </w:r>
      <w:r w:rsidR="005C5FE2" w:rsidRPr="001A0B66">
        <w:rPr>
          <w:rFonts w:ascii="FrankRuehl" w:hAnsi="FrankRuehl" w:cs="FrankRuehl"/>
          <w:sz w:val="28"/>
          <w:szCs w:val="28"/>
          <w:rtl/>
        </w:rPr>
        <w:t>י</w:t>
      </w:r>
      <w:r w:rsidR="00F20437" w:rsidRPr="001A0B66">
        <w:rPr>
          <w:rFonts w:ascii="FrankRuehl" w:hAnsi="FrankRuehl" w:cs="FrankRuehl"/>
          <w:sz w:val="28"/>
          <w:szCs w:val="28"/>
          <w:rtl/>
        </w:rPr>
        <w:t>תות</w:t>
      </w:r>
      <w:proofErr w:type="spellEnd"/>
      <w:r w:rsidR="00F20437" w:rsidRPr="001A0B66">
        <w:rPr>
          <w:rFonts w:ascii="FrankRuehl" w:hAnsi="FrankRuehl" w:cs="FrankRuehl"/>
          <w:sz w:val="28"/>
          <w:szCs w:val="28"/>
          <w:rtl/>
        </w:rPr>
        <w:t xml:space="preserve"> של התפרצויות אלימות)</w:t>
      </w:r>
      <w:r w:rsidR="001021B8" w:rsidRPr="001A0B66">
        <w:rPr>
          <w:rFonts w:ascii="FrankRuehl" w:hAnsi="FrankRuehl" w:cs="FrankRuehl"/>
          <w:sz w:val="28"/>
          <w:szCs w:val="28"/>
          <w:rtl/>
        </w:rPr>
        <w:t xml:space="preserve"> אנו צופים שלא יהיה בכך די; </w:t>
      </w:r>
      <w:r w:rsidR="005C5FE2" w:rsidRPr="001A0B66">
        <w:rPr>
          <w:rFonts w:ascii="FrankRuehl" w:hAnsi="FrankRuehl" w:cs="FrankRuehl"/>
          <w:sz w:val="28"/>
          <w:szCs w:val="28"/>
          <w:rtl/>
        </w:rPr>
        <w:t>י</w:t>
      </w:r>
      <w:r w:rsidR="001021B8" w:rsidRPr="001A0B66">
        <w:rPr>
          <w:rFonts w:ascii="FrankRuehl" w:hAnsi="FrankRuehl" w:cs="FrankRuehl"/>
          <w:sz w:val="28"/>
          <w:szCs w:val="28"/>
          <w:rtl/>
        </w:rPr>
        <w:t xml:space="preserve">יתכן גם שחלק מעורכי הדין המיוחדים בישראל לא יסכימו להתמנות </w:t>
      </w:r>
      <w:r w:rsidR="005C5FE2" w:rsidRPr="001A0B66">
        <w:rPr>
          <w:rFonts w:ascii="FrankRuehl" w:hAnsi="FrankRuehl" w:cs="FrankRuehl"/>
          <w:sz w:val="28"/>
          <w:szCs w:val="28"/>
          <w:rtl/>
        </w:rPr>
        <w:t xml:space="preserve">לייצג </w:t>
      </w:r>
      <w:r w:rsidR="001021B8" w:rsidRPr="001A0B66">
        <w:rPr>
          <w:rFonts w:ascii="FrankRuehl" w:hAnsi="FrankRuehl" w:cs="FrankRuehl"/>
          <w:sz w:val="28"/>
          <w:szCs w:val="28"/>
          <w:rtl/>
        </w:rPr>
        <w:t>בהליכים בשטחים. לכן יש צורך גם בעורכי ד</w:t>
      </w:r>
      <w:r w:rsidR="005E0DFD" w:rsidRPr="001A0B66">
        <w:rPr>
          <w:rFonts w:ascii="FrankRuehl" w:hAnsi="FrankRuehl" w:cs="FrankRuehl"/>
          <w:sz w:val="28"/>
          <w:szCs w:val="28"/>
          <w:rtl/>
        </w:rPr>
        <w:t>ין מיוחדים ציבוריים</w:t>
      </w:r>
      <w:r w:rsidR="00833E6D" w:rsidRPr="001A0B66">
        <w:rPr>
          <w:rFonts w:ascii="FrankRuehl" w:hAnsi="FrankRuehl" w:cs="FrankRuehl"/>
          <w:sz w:val="28"/>
          <w:szCs w:val="28"/>
          <w:rtl/>
        </w:rPr>
        <w:t>;</w:t>
      </w:r>
      <w:r w:rsidR="005E0DFD" w:rsidRPr="001A0B66">
        <w:rPr>
          <w:rFonts w:ascii="FrankRuehl" w:hAnsi="FrankRuehl" w:cs="FrankRuehl"/>
          <w:sz w:val="28"/>
          <w:szCs w:val="28"/>
          <w:rtl/>
        </w:rPr>
        <w:t xml:space="preserve"> </w:t>
      </w:r>
      <w:r w:rsidR="001021B8" w:rsidRPr="001A0B66">
        <w:rPr>
          <w:rFonts w:ascii="FrankRuehl" w:hAnsi="FrankRuehl" w:cs="FrankRuehl"/>
          <w:sz w:val="28"/>
          <w:szCs w:val="28"/>
          <w:rtl/>
        </w:rPr>
        <w:t xml:space="preserve">אך </w:t>
      </w:r>
      <w:r w:rsidR="005E0DFD" w:rsidRPr="001A0B66">
        <w:rPr>
          <w:rFonts w:ascii="FrankRuehl" w:hAnsi="FrankRuehl" w:cs="FrankRuehl"/>
          <w:sz w:val="28"/>
          <w:szCs w:val="28"/>
          <w:rtl/>
        </w:rPr>
        <w:t xml:space="preserve">מאחר </w:t>
      </w:r>
      <w:r w:rsidR="005C5FE2" w:rsidRPr="001A0B66">
        <w:rPr>
          <w:rFonts w:ascii="FrankRuehl" w:hAnsi="FrankRuehl" w:cs="FrankRuehl"/>
          <w:sz w:val="28"/>
          <w:szCs w:val="28"/>
          <w:rtl/>
        </w:rPr>
        <w:t>ש</w:t>
      </w:r>
      <w:r w:rsidR="005E0DFD" w:rsidRPr="001A0B66">
        <w:rPr>
          <w:rFonts w:ascii="FrankRuehl" w:hAnsi="FrankRuehl" w:cs="FrankRuehl"/>
          <w:sz w:val="28"/>
          <w:szCs w:val="28"/>
          <w:rtl/>
        </w:rPr>
        <w:t>סמכותה של הסנגוריה הציבורית אינה חלה על הליכים ב</w:t>
      </w:r>
      <w:r w:rsidR="00F20437" w:rsidRPr="001A0B66">
        <w:rPr>
          <w:rFonts w:ascii="FrankRuehl" w:hAnsi="FrankRuehl" w:cs="FrankRuehl"/>
          <w:sz w:val="28"/>
          <w:szCs w:val="28"/>
          <w:rtl/>
        </w:rPr>
        <w:t>שטחים</w:t>
      </w:r>
      <w:r w:rsidR="002C6E34" w:rsidRPr="001A0B66">
        <w:rPr>
          <w:rFonts w:ascii="FrankRuehl" w:hAnsi="FrankRuehl" w:cs="FrankRuehl"/>
          <w:sz w:val="28"/>
          <w:szCs w:val="28"/>
          <w:rtl/>
        </w:rPr>
        <w:t xml:space="preserve"> ואין בדעתנו להציע לשנות זאת</w:t>
      </w:r>
      <w:r w:rsidR="005E0DFD" w:rsidRPr="001A0B66">
        <w:rPr>
          <w:rFonts w:ascii="FrankRuehl" w:hAnsi="FrankRuehl" w:cs="FrankRuehl"/>
          <w:sz w:val="28"/>
          <w:szCs w:val="28"/>
          <w:rtl/>
        </w:rPr>
        <w:t xml:space="preserve">, יש להחיל </w:t>
      </w:r>
      <w:r w:rsidR="00BA200C" w:rsidRPr="001A0B66">
        <w:rPr>
          <w:rFonts w:ascii="FrankRuehl" w:hAnsi="FrankRuehl" w:cs="FrankRuehl"/>
          <w:sz w:val="28"/>
          <w:szCs w:val="28"/>
          <w:rtl/>
        </w:rPr>
        <w:t>כאן</w:t>
      </w:r>
      <w:r w:rsidR="00F20437" w:rsidRPr="001A0B66">
        <w:rPr>
          <w:rFonts w:ascii="FrankRuehl" w:hAnsi="FrankRuehl" w:cs="FrankRuehl"/>
          <w:sz w:val="28"/>
          <w:szCs w:val="28"/>
          <w:rtl/>
        </w:rPr>
        <w:t xml:space="preserve"> </w:t>
      </w:r>
      <w:r w:rsidR="005E0DFD" w:rsidRPr="001A0B66">
        <w:rPr>
          <w:rFonts w:ascii="FrankRuehl" w:hAnsi="FrankRuehl" w:cs="FrankRuehl"/>
          <w:sz w:val="28"/>
          <w:szCs w:val="28"/>
          <w:rtl/>
        </w:rPr>
        <w:t>מנגנון מקביל.</w:t>
      </w:r>
      <w:r w:rsidR="00131776" w:rsidRPr="001A0B66">
        <w:rPr>
          <w:rStyle w:val="FootnoteReference"/>
          <w:rFonts w:ascii="FrankRuehl" w:hAnsi="FrankRuehl" w:cs="FrankRuehl"/>
          <w:sz w:val="28"/>
          <w:szCs w:val="28"/>
          <w:rtl/>
        </w:rPr>
        <w:footnoteReference w:id="136"/>
      </w:r>
      <w:r w:rsidR="00A11DEA" w:rsidRPr="001A0B66">
        <w:rPr>
          <w:rFonts w:ascii="FrankRuehl" w:hAnsi="FrankRuehl" w:cs="FrankRuehl"/>
          <w:sz w:val="28"/>
          <w:szCs w:val="28"/>
          <w:rtl/>
        </w:rPr>
        <w:t xml:space="preserve"> </w:t>
      </w:r>
      <w:r w:rsidR="005C5FE2" w:rsidRPr="001A0B66">
        <w:rPr>
          <w:rFonts w:ascii="FrankRuehl" w:hAnsi="FrankRuehl" w:cs="FrankRuehl"/>
          <w:sz w:val="28"/>
          <w:szCs w:val="28"/>
          <w:rtl/>
        </w:rPr>
        <w:t xml:space="preserve">לפיכך </w:t>
      </w:r>
      <w:r w:rsidR="005E0DFD" w:rsidRPr="001A0B66">
        <w:rPr>
          <w:rFonts w:ascii="FrankRuehl" w:hAnsi="FrankRuehl" w:cs="FrankRuehl"/>
          <w:sz w:val="28"/>
          <w:szCs w:val="28"/>
          <w:rtl/>
        </w:rPr>
        <w:t>אנו מציעים</w:t>
      </w:r>
      <w:r w:rsidR="00086293" w:rsidRPr="001A0B66">
        <w:rPr>
          <w:rFonts w:ascii="FrankRuehl" w:hAnsi="FrankRuehl" w:cs="FrankRuehl"/>
          <w:sz w:val="28"/>
          <w:szCs w:val="28"/>
          <w:rtl/>
        </w:rPr>
        <w:t xml:space="preserve"> </w:t>
      </w:r>
      <w:r w:rsidR="00632080" w:rsidRPr="001A0B66">
        <w:rPr>
          <w:rFonts w:ascii="FrankRuehl" w:hAnsi="FrankRuehl" w:cs="FrankRuehl"/>
          <w:sz w:val="28"/>
          <w:szCs w:val="28"/>
          <w:rtl/>
        </w:rPr>
        <w:t>להחיל מנגנון</w:t>
      </w:r>
      <w:r w:rsidR="00086293" w:rsidRPr="001A0B66">
        <w:rPr>
          <w:rFonts w:ascii="FrankRuehl" w:hAnsi="FrankRuehl" w:cs="FrankRuehl"/>
          <w:sz w:val="28"/>
          <w:szCs w:val="28"/>
          <w:rtl/>
        </w:rPr>
        <w:t xml:space="preserve"> מוסדי</w:t>
      </w:r>
      <w:r w:rsidR="00632080" w:rsidRPr="001A0B66">
        <w:rPr>
          <w:rFonts w:ascii="FrankRuehl" w:hAnsi="FrankRuehl" w:cs="FrankRuehl"/>
          <w:sz w:val="28"/>
          <w:szCs w:val="28"/>
          <w:rtl/>
        </w:rPr>
        <w:t xml:space="preserve"> קיים אחר</w:t>
      </w:r>
      <w:r w:rsidR="005C5FE2" w:rsidRPr="001A0B66">
        <w:rPr>
          <w:rFonts w:ascii="FrankRuehl" w:hAnsi="FrankRuehl" w:cs="FrankRuehl"/>
          <w:sz w:val="28"/>
          <w:szCs w:val="28"/>
          <w:rtl/>
        </w:rPr>
        <w:t>,</w:t>
      </w:r>
      <w:r w:rsidR="00632080" w:rsidRPr="001A0B66">
        <w:rPr>
          <w:rFonts w:ascii="FrankRuehl" w:hAnsi="FrankRuehl" w:cs="FrankRuehl"/>
          <w:sz w:val="28"/>
          <w:szCs w:val="28"/>
          <w:rtl/>
        </w:rPr>
        <w:t xml:space="preserve"> </w:t>
      </w:r>
      <w:r w:rsidR="00A11DEA" w:rsidRPr="001A0B66">
        <w:rPr>
          <w:rFonts w:ascii="FrankRuehl" w:hAnsi="FrankRuehl" w:cs="FrankRuehl"/>
          <w:sz w:val="28"/>
          <w:szCs w:val="28"/>
          <w:rtl/>
        </w:rPr>
        <w:t xml:space="preserve">והוא </w:t>
      </w:r>
      <w:r w:rsidR="00632080" w:rsidRPr="001A0B66">
        <w:rPr>
          <w:rFonts w:ascii="FrankRuehl" w:hAnsi="FrankRuehl" w:cs="FrankRuehl"/>
          <w:sz w:val="28"/>
          <w:szCs w:val="28"/>
          <w:rtl/>
        </w:rPr>
        <w:t xml:space="preserve">מינוי </w:t>
      </w:r>
      <w:r w:rsidR="00632080" w:rsidRPr="001A0B66">
        <w:rPr>
          <w:rFonts w:ascii="FrankRuehl" w:hAnsi="FrankRuehl" w:cs="FrankRuehl"/>
          <w:b/>
          <w:bCs/>
          <w:sz w:val="28"/>
          <w:szCs w:val="28"/>
          <w:rtl/>
        </w:rPr>
        <w:t>באמצעות הסנגוריה הצבאית</w:t>
      </w:r>
      <w:r w:rsidR="00632080" w:rsidRPr="001A0B66">
        <w:rPr>
          <w:rFonts w:ascii="FrankRuehl" w:hAnsi="FrankRuehl" w:cs="FrankRuehl"/>
          <w:sz w:val="28"/>
          <w:szCs w:val="28"/>
          <w:rtl/>
        </w:rPr>
        <w:t xml:space="preserve">. </w:t>
      </w:r>
      <w:r w:rsidR="007C3DBF" w:rsidRPr="001A0B66">
        <w:rPr>
          <w:rFonts w:ascii="FrankRuehl" w:hAnsi="FrankRuehl" w:cs="FrankRuehl"/>
          <w:sz w:val="28"/>
          <w:szCs w:val="28"/>
          <w:rtl/>
        </w:rPr>
        <w:t>הצעה זו</w:t>
      </w:r>
      <w:r w:rsidR="00086293" w:rsidRPr="001A0B66">
        <w:rPr>
          <w:rFonts w:ascii="FrankRuehl" w:hAnsi="FrankRuehl" w:cs="FrankRuehl"/>
          <w:sz w:val="28"/>
          <w:szCs w:val="28"/>
          <w:rtl/>
        </w:rPr>
        <w:t xml:space="preserve"> </w:t>
      </w:r>
      <w:r w:rsidR="00031530" w:rsidRPr="001A0B66">
        <w:rPr>
          <w:rFonts w:ascii="FrankRuehl" w:hAnsi="FrankRuehl" w:cs="FrankRuehl"/>
          <w:sz w:val="28"/>
          <w:szCs w:val="28"/>
          <w:rtl/>
        </w:rPr>
        <w:t>כבר הועלתה בעבר</w:t>
      </w:r>
      <w:bookmarkStart w:id="97" w:name="_Hlk41501971"/>
      <w:r w:rsidR="00031530" w:rsidRPr="001A0B66">
        <w:rPr>
          <w:rStyle w:val="FootnoteReference"/>
          <w:rFonts w:ascii="FrankRuehl" w:hAnsi="FrankRuehl" w:cs="FrankRuehl"/>
          <w:sz w:val="28"/>
          <w:szCs w:val="28"/>
          <w:rtl/>
        </w:rPr>
        <w:footnoteReference w:id="137"/>
      </w:r>
      <w:bookmarkEnd w:id="97"/>
      <w:r w:rsidR="007C3DBF" w:rsidRPr="001A0B66">
        <w:rPr>
          <w:rFonts w:ascii="FrankRuehl" w:hAnsi="FrankRuehl" w:cs="FrankRuehl"/>
          <w:sz w:val="28"/>
          <w:szCs w:val="28"/>
          <w:rtl/>
        </w:rPr>
        <w:t xml:space="preserve"> </w:t>
      </w:r>
      <w:r w:rsidR="00E36F7F" w:rsidRPr="001A0B66">
        <w:rPr>
          <w:rFonts w:ascii="FrankRuehl" w:hAnsi="FrankRuehl" w:cs="FrankRuehl"/>
          <w:sz w:val="28"/>
          <w:szCs w:val="28"/>
          <w:rtl/>
        </w:rPr>
        <w:t xml:space="preserve">ואנו מבקשים לחזק אותה, </w:t>
      </w:r>
      <w:r w:rsidR="00A11DEA" w:rsidRPr="001A0B66">
        <w:rPr>
          <w:rFonts w:ascii="FrankRuehl" w:hAnsi="FrankRuehl" w:cs="FrankRuehl"/>
          <w:sz w:val="28"/>
          <w:szCs w:val="28"/>
          <w:rtl/>
        </w:rPr>
        <w:t xml:space="preserve">אך יש להודות שהיא </w:t>
      </w:r>
      <w:r w:rsidR="00937A99" w:rsidRPr="001A0B66">
        <w:rPr>
          <w:rFonts w:ascii="FrankRuehl" w:hAnsi="FrankRuehl" w:cs="FrankRuehl"/>
          <w:sz w:val="28"/>
          <w:szCs w:val="28"/>
          <w:rtl/>
        </w:rPr>
        <w:t>מציבה אתגרים</w:t>
      </w:r>
      <w:r w:rsidR="002859D9" w:rsidRPr="001A0B66">
        <w:rPr>
          <w:rFonts w:ascii="FrankRuehl" w:hAnsi="FrankRuehl" w:cs="FrankRuehl"/>
          <w:sz w:val="28"/>
          <w:szCs w:val="28"/>
          <w:rtl/>
        </w:rPr>
        <w:t xml:space="preserve"> של ממש</w:t>
      </w:r>
      <w:r w:rsidR="00937A99" w:rsidRPr="001A0B66">
        <w:rPr>
          <w:rFonts w:ascii="FrankRuehl" w:hAnsi="FrankRuehl" w:cs="FrankRuehl"/>
          <w:sz w:val="28"/>
          <w:szCs w:val="28"/>
          <w:rtl/>
        </w:rPr>
        <w:t xml:space="preserve">, </w:t>
      </w:r>
      <w:r w:rsidR="005C5FE2" w:rsidRPr="001A0B66">
        <w:rPr>
          <w:rFonts w:ascii="FrankRuehl" w:hAnsi="FrankRuehl" w:cs="FrankRuehl"/>
          <w:sz w:val="28"/>
          <w:szCs w:val="28"/>
          <w:rtl/>
        </w:rPr>
        <w:t xml:space="preserve">ואיתם </w:t>
      </w:r>
      <w:r w:rsidR="00937A99" w:rsidRPr="001A0B66">
        <w:rPr>
          <w:rFonts w:ascii="FrankRuehl" w:hAnsi="FrankRuehl" w:cs="FrankRuehl"/>
          <w:sz w:val="28"/>
          <w:szCs w:val="28"/>
          <w:rtl/>
        </w:rPr>
        <w:t>נ</w:t>
      </w:r>
      <w:r w:rsidR="00407A5A" w:rsidRPr="001A0B66">
        <w:rPr>
          <w:rFonts w:ascii="FrankRuehl" w:hAnsi="FrankRuehl" w:cs="FrankRuehl"/>
          <w:sz w:val="28"/>
          <w:szCs w:val="28"/>
          <w:rtl/>
        </w:rPr>
        <w:t>נסה לה</w:t>
      </w:r>
      <w:r w:rsidR="00937A99" w:rsidRPr="001A0B66">
        <w:rPr>
          <w:rFonts w:ascii="FrankRuehl" w:hAnsi="FrankRuehl" w:cs="FrankRuehl"/>
          <w:sz w:val="28"/>
          <w:szCs w:val="28"/>
          <w:rtl/>
        </w:rPr>
        <w:t>תמודד להלן</w:t>
      </w:r>
      <w:r w:rsidR="005E0DFD" w:rsidRPr="001A0B66">
        <w:rPr>
          <w:rFonts w:ascii="FrankRuehl" w:hAnsi="FrankRuehl" w:cs="FrankRuehl"/>
          <w:sz w:val="28"/>
          <w:szCs w:val="28"/>
          <w:rtl/>
        </w:rPr>
        <w:t>.</w:t>
      </w:r>
    </w:p>
    <w:p w14:paraId="7189DED9" w14:textId="77777777" w:rsidR="00BE7C9B" w:rsidRPr="001A0B66" w:rsidRDefault="001021B8" w:rsidP="00F307FB">
      <w:pPr>
        <w:pStyle w:val="a1"/>
        <w:spacing w:line="276" w:lineRule="auto"/>
        <w:rPr>
          <w:rFonts w:ascii="FrankRuehl" w:hAnsi="FrankRuehl" w:cs="FrankRuehl"/>
          <w:sz w:val="28"/>
          <w:szCs w:val="28"/>
          <w:rtl/>
        </w:rPr>
      </w:pPr>
      <w:r w:rsidRPr="001A0B66">
        <w:rPr>
          <w:rFonts w:ascii="FrankRuehl" w:hAnsi="FrankRuehl" w:cs="FrankRuehl"/>
          <w:b/>
          <w:bCs/>
          <w:sz w:val="28"/>
          <w:szCs w:val="28"/>
          <w:rtl/>
        </w:rPr>
        <w:lastRenderedPageBreak/>
        <w:t>זהות עורכי הדין המיוחדים</w:t>
      </w:r>
      <w:r w:rsidR="00A11DEA" w:rsidRPr="001A0B66">
        <w:rPr>
          <w:rFonts w:ascii="FrankRuehl" w:hAnsi="FrankRuehl" w:cs="FrankRuehl"/>
          <w:b/>
          <w:bCs/>
          <w:sz w:val="28"/>
          <w:szCs w:val="28"/>
          <w:rtl/>
        </w:rPr>
        <w:t xml:space="preserve"> שיפעלו בשטחים</w:t>
      </w:r>
      <w:r w:rsidRPr="001A0B66">
        <w:rPr>
          <w:rFonts w:ascii="FrankRuehl" w:hAnsi="FrankRuehl" w:cs="FrankRuehl"/>
          <w:sz w:val="28"/>
          <w:szCs w:val="28"/>
          <w:rtl/>
        </w:rPr>
        <w:t>:</w:t>
      </w:r>
      <w:r w:rsidR="00F732F6" w:rsidRPr="001A0B66">
        <w:rPr>
          <w:rFonts w:ascii="FrankRuehl" w:hAnsi="FrankRuehl" w:cs="FrankRuehl"/>
          <w:sz w:val="28"/>
          <w:szCs w:val="28"/>
        </w:rPr>
        <w:t xml:space="preserve"> </w:t>
      </w:r>
      <w:r w:rsidR="00BE7C9B" w:rsidRPr="001A0B66">
        <w:rPr>
          <w:rFonts w:ascii="FrankRuehl" w:hAnsi="FrankRuehl" w:cs="FrankRuehl"/>
          <w:sz w:val="28"/>
          <w:szCs w:val="28"/>
          <w:rtl/>
        </w:rPr>
        <w:t xml:space="preserve">למעט </w:t>
      </w:r>
      <w:r w:rsidR="005C5FE2" w:rsidRPr="001A0B66">
        <w:rPr>
          <w:rFonts w:ascii="FrankRuehl" w:hAnsi="FrankRuehl" w:cs="FrankRuehl"/>
          <w:sz w:val="28"/>
          <w:szCs w:val="28"/>
          <w:rtl/>
        </w:rPr>
        <w:t>ב</w:t>
      </w:r>
      <w:r w:rsidR="00BE7C9B" w:rsidRPr="001A0B66">
        <w:rPr>
          <w:rFonts w:ascii="FrankRuehl" w:hAnsi="FrankRuehl" w:cs="FrankRuehl"/>
          <w:sz w:val="28"/>
          <w:szCs w:val="28"/>
          <w:rtl/>
        </w:rPr>
        <w:t xml:space="preserve">מקרים </w:t>
      </w:r>
      <w:r w:rsidR="00BC5C64" w:rsidRPr="001A0B66">
        <w:rPr>
          <w:rFonts w:ascii="FrankRuehl" w:hAnsi="FrankRuehl" w:cs="FrankRuehl"/>
          <w:sz w:val="28"/>
          <w:szCs w:val="28"/>
          <w:rtl/>
        </w:rPr>
        <w:t xml:space="preserve">ספורים </w:t>
      </w:r>
      <w:r w:rsidR="00BE7C9B" w:rsidRPr="001A0B66">
        <w:rPr>
          <w:rFonts w:ascii="FrankRuehl" w:hAnsi="FrankRuehl" w:cs="FrankRuehl"/>
          <w:sz w:val="28"/>
          <w:szCs w:val="28"/>
          <w:rtl/>
        </w:rPr>
        <w:t xml:space="preserve">של מעצר מנהלי של </w:t>
      </w:r>
      <w:r w:rsidR="00A11DEA" w:rsidRPr="001A0B66">
        <w:rPr>
          <w:rFonts w:ascii="FrankRuehl" w:hAnsi="FrankRuehl" w:cs="FrankRuehl"/>
          <w:sz w:val="28"/>
          <w:szCs w:val="28"/>
          <w:rtl/>
        </w:rPr>
        <w:t xml:space="preserve">מתיישבים </w:t>
      </w:r>
      <w:r w:rsidR="00BE7C9B" w:rsidRPr="001A0B66">
        <w:rPr>
          <w:rFonts w:ascii="FrankRuehl" w:hAnsi="FrankRuehl" w:cs="FrankRuehl"/>
          <w:sz w:val="28"/>
          <w:szCs w:val="28"/>
          <w:rtl/>
        </w:rPr>
        <w:t>ישראלים</w:t>
      </w:r>
      <w:r w:rsidR="005C5FE2" w:rsidRPr="001A0B66">
        <w:rPr>
          <w:rFonts w:ascii="FrankRuehl" w:hAnsi="FrankRuehl" w:cs="FrankRuehl"/>
          <w:sz w:val="28"/>
          <w:szCs w:val="28"/>
          <w:rtl/>
        </w:rPr>
        <w:t xml:space="preserve"> וצווי הגבלה המוצאים נגדם</w:t>
      </w:r>
      <w:r w:rsidR="00BE7C9B" w:rsidRPr="001A0B66">
        <w:rPr>
          <w:rFonts w:ascii="FrankRuehl" w:hAnsi="FrankRuehl" w:cs="FrankRuehl"/>
          <w:sz w:val="28"/>
          <w:szCs w:val="28"/>
          <w:rtl/>
        </w:rPr>
        <w:t>, הנאשמים והעצורים בשטחים הם פלסטינים תושבי השטחים. הייצוג המשפטי בשטחים ניתן ברובו על ידי עורכי</w:t>
      </w:r>
      <w:r w:rsidR="005C5FE2" w:rsidRPr="001A0B66">
        <w:rPr>
          <w:rFonts w:ascii="FrankRuehl" w:hAnsi="FrankRuehl" w:cs="FrankRuehl"/>
          <w:sz w:val="28"/>
          <w:szCs w:val="28"/>
          <w:rtl/>
        </w:rPr>
        <w:t xml:space="preserve"> דין</w:t>
      </w:r>
      <w:r w:rsidR="00BE7C9B" w:rsidRPr="001A0B66">
        <w:rPr>
          <w:rFonts w:ascii="FrankRuehl" w:hAnsi="FrankRuehl" w:cs="FrankRuehl"/>
          <w:sz w:val="28"/>
          <w:szCs w:val="28"/>
          <w:rtl/>
        </w:rPr>
        <w:t xml:space="preserve"> </w:t>
      </w:r>
      <w:r w:rsidR="005B62A6" w:rsidRPr="001A0B66">
        <w:rPr>
          <w:rFonts w:ascii="FrankRuehl" w:hAnsi="FrankRuehl" w:cs="FrankRuehl"/>
          <w:sz w:val="28"/>
          <w:szCs w:val="28"/>
          <w:rtl/>
        </w:rPr>
        <w:t xml:space="preserve">ועורכות </w:t>
      </w:r>
      <w:r w:rsidR="00BE7C9B" w:rsidRPr="001A0B66">
        <w:rPr>
          <w:rFonts w:ascii="FrankRuehl" w:hAnsi="FrankRuehl" w:cs="FrankRuehl"/>
          <w:sz w:val="28"/>
          <w:szCs w:val="28"/>
          <w:rtl/>
        </w:rPr>
        <w:t xml:space="preserve">דין פלסטינים </w:t>
      </w:r>
      <w:r w:rsidR="00A11DEA" w:rsidRPr="001A0B66">
        <w:rPr>
          <w:rFonts w:ascii="FrankRuehl" w:hAnsi="FrankRuehl" w:cs="FrankRuehl"/>
          <w:sz w:val="28"/>
          <w:szCs w:val="28"/>
          <w:rtl/>
        </w:rPr>
        <w:t xml:space="preserve">שהם </w:t>
      </w:r>
      <w:r w:rsidR="00BE7C9B" w:rsidRPr="001A0B66">
        <w:rPr>
          <w:rFonts w:ascii="FrankRuehl" w:hAnsi="FrankRuehl" w:cs="FrankRuehl"/>
          <w:sz w:val="28"/>
          <w:szCs w:val="28"/>
          <w:rtl/>
        </w:rPr>
        <w:t>חברי לשכת עורכי הדין הפלסטינית.</w:t>
      </w:r>
      <w:bookmarkStart w:id="98" w:name="_Ref53048319"/>
      <w:r w:rsidR="00B87943" w:rsidRPr="001A0B66">
        <w:rPr>
          <w:rFonts w:ascii="FrankRuehl" w:hAnsi="FrankRuehl" w:cs="FrankRuehl"/>
          <w:sz w:val="28"/>
          <w:szCs w:val="28"/>
          <w:vertAlign w:val="superscript"/>
          <w:rtl/>
        </w:rPr>
        <w:footnoteReference w:id="138"/>
      </w:r>
      <w:bookmarkEnd w:id="98"/>
      <w:r w:rsidR="00BE7C9B" w:rsidRPr="001A0B66">
        <w:rPr>
          <w:rFonts w:ascii="FrankRuehl" w:hAnsi="FrankRuehl" w:cs="FrankRuehl"/>
          <w:sz w:val="28"/>
          <w:szCs w:val="28"/>
          <w:rtl/>
        </w:rPr>
        <w:t xml:space="preserve"> נוסף</w:t>
      </w:r>
      <w:r w:rsidR="005C5FE2" w:rsidRPr="001A0B66">
        <w:rPr>
          <w:rFonts w:ascii="FrankRuehl" w:hAnsi="FrankRuehl" w:cs="FrankRuehl"/>
          <w:sz w:val="28"/>
          <w:szCs w:val="28"/>
          <w:rtl/>
        </w:rPr>
        <w:t xml:space="preserve"> על כך</w:t>
      </w:r>
      <w:r w:rsidR="00BE7C9B" w:rsidRPr="001A0B66">
        <w:rPr>
          <w:rFonts w:ascii="FrankRuehl" w:hAnsi="FrankRuehl" w:cs="FrankRuehl"/>
          <w:sz w:val="28"/>
          <w:szCs w:val="28"/>
          <w:rtl/>
        </w:rPr>
        <w:t xml:space="preserve"> עורכי</w:t>
      </w:r>
      <w:r w:rsidR="000127ED" w:rsidRPr="001A0B66">
        <w:rPr>
          <w:rFonts w:ascii="FrankRuehl" w:hAnsi="FrankRuehl" w:cs="FrankRuehl"/>
          <w:sz w:val="28"/>
          <w:szCs w:val="28"/>
          <w:rtl/>
        </w:rPr>
        <w:t xml:space="preserve"> דין</w:t>
      </w:r>
      <w:r w:rsidR="00BE7C9B" w:rsidRPr="001A0B66">
        <w:rPr>
          <w:rFonts w:ascii="FrankRuehl" w:hAnsi="FrankRuehl" w:cs="FrankRuehl"/>
          <w:sz w:val="28"/>
          <w:szCs w:val="28"/>
          <w:rtl/>
        </w:rPr>
        <w:t xml:space="preserve"> </w:t>
      </w:r>
      <w:r w:rsidR="005B62A6" w:rsidRPr="001A0B66">
        <w:rPr>
          <w:rFonts w:ascii="FrankRuehl" w:hAnsi="FrankRuehl" w:cs="FrankRuehl"/>
          <w:sz w:val="28"/>
          <w:szCs w:val="28"/>
          <w:rtl/>
        </w:rPr>
        <w:t xml:space="preserve">ועורכות </w:t>
      </w:r>
      <w:r w:rsidR="00BE7C9B" w:rsidRPr="001A0B66">
        <w:rPr>
          <w:rFonts w:ascii="FrankRuehl" w:hAnsi="FrankRuehl" w:cs="FrankRuehl"/>
          <w:sz w:val="28"/>
          <w:szCs w:val="28"/>
          <w:rtl/>
        </w:rPr>
        <w:t>דין ישראלים</w:t>
      </w:r>
      <w:r w:rsidR="000127ED" w:rsidRPr="001A0B66">
        <w:rPr>
          <w:rFonts w:ascii="FrankRuehl" w:hAnsi="FrankRuehl" w:cs="FrankRuehl"/>
          <w:sz w:val="28"/>
          <w:szCs w:val="28"/>
          <w:rtl/>
        </w:rPr>
        <w:t xml:space="preserve"> –</w:t>
      </w:r>
      <w:r w:rsidR="00BE7C9B" w:rsidRPr="001A0B66">
        <w:rPr>
          <w:rFonts w:ascii="FrankRuehl" w:hAnsi="FrankRuehl" w:cs="FrankRuehl"/>
          <w:sz w:val="28"/>
          <w:szCs w:val="28"/>
          <w:rtl/>
        </w:rPr>
        <w:t xml:space="preserve"> </w:t>
      </w:r>
      <w:r w:rsidR="002859D9" w:rsidRPr="001A0B66">
        <w:rPr>
          <w:rFonts w:ascii="FrankRuehl" w:hAnsi="FrankRuehl" w:cs="FrankRuehl"/>
          <w:sz w:val="28"/>
          <w:szCs w:val="28"/>
          <w:rtl/>
        </w:rPr>
        <w:t>ערבים ו</w:t>
      </w:r>
      <w:r w:rsidR="00BE7C9B" w:rsidRPr="001A0B66">
        <w:rPr>
          <w:rFonts w:ascii="FrankRuehl" w:hAnsi="FrankRuehl" w:cs="FrankRuehl"/>
          <w:sz w:val="28"/>
          <w:szCs w:val="28"/>
          <w:rtl/>
        </w:rPr>
        <w:t>יהודים</w:t>
      </w:r>
      <w:r w:rsidR="000127ED" w:rsidRPr="001A0B66">
        <w:rPr>
          <w:rFonts w:ascii="FrankRuehl" w:hAnsi="FrankRuehl" w:cs="FrankRuehl"/>
          <w:sz w:val="28"/>
          <w:szCs w:val="28"/>
          <w:rtl/>
        </w:rPr>
        <w:t xml:space="preserve"> –</w:t>
      </w:r>
      <w:r w:rsidR="00BE7C9B" w:rsidRPr="001A0B66">
        <w:rPr>
          <w:rFonts w:ascii="FrankRuehl" w:hAnsi="FrankRuehl" w:cs="FrankRuehl"/>
          <w:sz w:val="28"/>
          <w:szCs w:val="28"/>
          <w:rtl/>
        </w:rPr>
        <w:t xml:space="preserve"> מייצגים עצורים ונאשמים פלסטינים. בשל הבדלי החינוך המשפטי, השפה והתרבות המשפטית, לעורכי דין ישראלים</w:t>
      </w:r>
      <w:r w:rsidR="000127ED" w:rsidRPr="001A0B66">
        <w:rPr>
          <w:rFonts w:ascii="FrankRuehl" w:hAnsi="FrankRuehl" w:cs="FrankRuehl"/>
          <w:sz w:val="28"/>
          <w:szCs w:val="28"/>
          <w:rtl/>
        </w:rPr>
        <w:t xml:space="preserve"> יש במערכת זו יתרונות רבים על פני עמיתיהם ה</w:t>
      </w:r>
      <w:r w:rsidR="00BE7C9B" w:rsidRPr="001A0B66">
        <w:rPr>
          <w:rFonts w:ascii="FrankRuehl" w:hAnsi="FrankRuehl" w:cs="FrankRuehl"/>
          <w:sz w:val="28"/>
          <w:szCs w:val="28"/>
          <w:rtl/>
        </w:rPr>
        <w:t xml:space="preserve">פלסטינים; </w:t>
      </w:r>
      <w:r w:rsidR="00833E6D" w:rsidRPr="001A0B66">
        <w:rPr>
          <w:rFonts w:ascii="FrankRuehl" w:hAnsi="FrankRuehl" w:cs="FrankRuehl"/>
          <w:sz w:val="28"/>
          <w:szCs w:val="28"/>
          <w:rtl/>
        </w:rPr>
        <w:t>מנגד</w:t>
      </w:r>
      <w:r w:rsidR="00BE7C9B" w:rsidRPr="001A0B66">
        <w:rPr>
          <w:rFonts w:ascii="FrankRuehl" w:hAnsi="FrankRuehl" w:cs="FrankRuehl"/>
          <w:sz w:val="28"/>
          <w:szCs w:val="28"/>
          <w:rtl/>
        </w:rPr>
        <w:t xml:space="preserve">, עורכי דין פלסטינים מכירים </w:t>
      </w:r>
      <w:r w:rsidR="00F732F6" w:rsidRPr="001A0B66">
        <w:rPr>
          <w:rFonts w:ascii="FrankRuehl" w:hAnsi="FrankRuehl" w:cs="FrankRuehl"/>
          <w:sz w:val="28"/>
          <w:szCs w:val="28"/>
          <w:rtl/>
        </w:rPr>
        <w:t>טוב יותר</w:t>
      </w:r>
      <w:r w:rsidR="00BE7C9B" w:rsidRPr="001A0B66">
        <w:rPr>
          <w:rFonts w:ascii="FrankRuehl" w:hAnsi="FrankRuehl" w:cs="FrankRuehl"/>
          <w:sz w:val="28"/>
          <w:szCs w:val="28"/>
          <w:rtl/>
        </w:rPr>
        <w:t xml:space="preserve"> את </w:t>
      </w:r>
      <w:r w:rsidR="00262E42" w:rsidRPr="001A0B66">
        <w:rPr>
          <w:rFonts w:ascii="FrankRuehl" w:hAnsi="FrankRuehl" w:cs="FrankRuehl"/>
          <w:sz w:val="28"/>
          <w:szCs w:val="28"/>
          <w:rtl/>
        </w:rPr>
        <w:t>העצורים</w:t>
      </w:r>
      <w:r w:rsidR="00BE7C9B" w:rsidRPr="001A0B66">
        <w:rPr>
          <w:rFonts w:ascii="FrankRuehl" w:hAnsi="FrankRuehl" w:cs="FrankRuehl"/>
          <w:sz w:val="28"/>
          <w:szCs w:val="28"/>
          <w:rtl/>
        </w:rPr>
        <w:t xml:space="preserve"> ו</w:t>
      </w:r>
      <w:r w:rsidR="000127ED" w:rsidRPr="001A0B66">
        <w:rPr>
          <w:rFonts w:ascii="FrankRuehl" w:hAnsi="FrankRuehl" w:cs="FrankRuehl"/>
          <w:sz w:val="28"/>
          <w:szCs w:val="28"/>
          <w:rtl/>
        </w:rPr>
        <w:t xml:space="preserve">את </w:t>
      </w:r>
      <w:r w:rsidR="00BE7C9B" w:rsidRPr="001A0B66">
        <w:rPr>
          <w:rFonts w:ascii="FrankRuehl" w:hAnsi="FrankRuehl" w:cs="FrankRuehl"/>
          <w:sz w:val="28"/>
          <w:szCs w:val="28"/>
          <w:rtl/>
        </w:rPr>
        <w:t>עולמם.</w:t>
      </w:r>
      <w:r w:rsidR="00BE7C9B" w:rsidRPr="001A0B66">
        <w:rPr>
          <w:rStyle w:val="FootnoteReference"/>
          <w:rFonts w:ascii="FrankRuehl" w:hAnsi="FrankRuehl" w:cs="FrankRuehl"/>
          <w:sz w:val="28"/>
          <w:szCs w:val="28"/>
          <w:rtl/>
        </w:rPr>
        <w:footnoteReference w:id="139"/>
      </w:r>
      <w:r w:rsidR="00BE7C9B" w:rsidRPr="001A0B66">
        <w:rPr>
          <w:rFonts w:ascii="FrankRuehl" w:hAnsi="FrankRuehl" w:cs="FrankRuehl"/>
          <w:sz w:val="28"/>
          <w:szCs w:val="28"/>
          <w:rtl/>
        </w:rPr>
        <w:t xml:space="preserve"> </w:t>
      </w:r>
      <w:r w:rsidR="000127ED" w:rsidRPr="001A0B66">
        <w:rPr>
          <w:rFonts w:ascii="FrankRuehl" w:hAnsi="FrankRuehl" w:cs="FrankRuehl"/>
          <w:sz w:val="28"/>
          <w:szCs w:val="28"/>
          <w:rtl/>
        </w:rPr>
        <w:t xml:space="preserve">קביעת </w:t>
      </w:r>
      <w:r w:rsidR="00BE7C9B" w:rsidRPr="001A0B66">
        <w:rPr>
          <w:rFonts w:ascii="FrankRuehl" w:hAnsi="FrankRuehl" w:cs="FrankRuehl"/>
          <w:sz w:val="28"/>
          <w:szCs w:val="28"/>
          <w:rtl/>
        </w:rPr>
        <w:t xml:space="preserve">מנגנון של סיווג ביטחוני לעורכי דין מיוחדים יגדיל את הפער הזה, שכן אין סיכוי שעורכי דין תושבי השטחים יקבלו סיווג </w:t>
      </w:r>
      <w:r w:rsidR="000127ED" w:rsidRPr="001A0B66">
        <w:rPr>
          <w:rFonts w:ascii="FrankRuehl" w:hAnsi="FrankRuehl" w:cs="FrankRuehl"/>
          <w:sz w:val="28"/>
          <w:szCs w:val="28"/>
          <w:rtl/>
        </w:rPr>
        <w:t>מתאים</w:t>
      </w:r>
      <w:r w:rsidR="00BE7C9B" w:rsidRPr="001A0B66">
        <w:rPr>
          <w:rFonts w:ascii="FrankRuehl" w:hAnsi="FrankRuehl" w:cs="FrankRuehl"/>
          <w:sz w:val="28"/>
          <w:szCs w:val="28"/>
          <w:rtl/>
        </w:rPr>
        <w:t xml:space="preserve">. </w:t>
      </w:r>
      <w:r w:rsidR="00811F6F" w:rsidRPr="001A0B66">
        <w:rPr>
          <w:rFonts w:ascii="FrankRuehl" w:hAnsi="FrankRuehl" w:cs="FrankRuehl"/>
          <w:sz w:val="28"/>
          <w:szCs w:val="28"/>
          <w:rtl/>
        </w:rPr>
        <w:t xml:space="preserve">זו תוצאה עגומה אך </w:t>
      </w:r>
      <w:r w:rsidR="00F20437" w:rsidRPr="001A0B66">
        <w:rPr>
          <w:rFonts w:ascii="FrankRuehl" w:hAnsi="FrankRuehl" w:cs="FrankRuehl"/>
          <w:sz w:val="28"/>
          <w:szCs w:val="28"/>
          <w:rtl/>
        </w:rPr>
        <w:t>כנראה</w:t>
      </w:r>
      <w:r w:rsidR="00811F6F" w:rsidRPr="001A0B66">
        <w:rPr>
          <w:rFonts w:ascii="FrankRuehl" w:hAnsi="FrankRuehl" w:cs="FrankRuehl"/>
          <w:sz w:val="28"/>
          <w:szCs w:val="28"/>
          <w:rtl/>
        </w:rPr>
        <w:t xml:space="preserve"> </w:t>
      </w:r>
      <w:r w:rsidR="00BE7C9B" w:rsidRPr="001A0B66">
        <w:rPr>
          <w:rFonts w:ascii="FrankRuehl" w:hAnsi="FrankRuehl" w:cs="FrankRuehl"/>
          <w:sz w:val="28"/>
          <w:szCs w:val="28"/>
          <w:rtl/>
        </w:rPr>
        <w:t>בלתי נמנעת, ואנ</w:t>
      </w:r>
      <w:r w:rsidR="002C6E34" w:rsidRPr="001A0B66">
        <w:rPr>
          <w:rFonts w:ascii="FrankRuehl" w:hAnsi="FrankRuehl" w:cs="FrankRuehl"/>
          <w:sz w:val="28"/>
          <w:szCs w:val="28"/>
          <w:rtl/>
        </w:rPr>
        <w:t>ו</w:t>
      </w:r>
      <w:r w:rsidR="00BE7C9B" w:rsidRPr="001A0B66">
        <w:rPr>
          <w:rFonts w:ascii="FrankRuehl" w:hAnsi="FrankRuehl" w:cs="FrankRuehl"/>
          <w:sz w:val="28"/>
          <w:szCs w:val="28"/>
          <w:rtl/>
        </w:rPr>
        <w:t xml:space="preserve"> מקווים שההגנה הנוספת לעצורים מצדיקה זאת. </w:t>
      </w:r>
      <w:r w:rsidR="00045F18" w:rsidRPr="001A0B66">
        <w:rPr>
          <w:rFonts w:ascii="FrankRuehl" w:hAnsi="FrankRuehl" w:cs="FrankRuehl"/>
          <w:sz w:val="28"/>
          <w:szCs w:val="28"/>
          <w:rtl/>
        </w:rPr>
        <w:t>אולם</w:t>
      </w:r>
      <w:r w:rsidR="00BE7C9B" w:rsidRPr="001A0B66">
        <w:rPr>
          <w:rFonts w:ascii="FrankRuehl" w:hAnsi="FrankRuehl" w:cs="FrankRuehl"/>
          <w:sz w:val="28"/>
          <w:szCs w:val="28"/>
          <w:rtl/>
        </w:rPr>
        <w:t xml:space="preserve"> </w:t>
      </w:r>
      <w:r w:rsidR="00811F6F" w:rsidRPr="001A0B66">
        <w:rPr>
          <w:rFonts w:ascii="FrankRuehl" w:hAnsi="FrankRuehl" w:cs="FrankRuehl"/>
          <w:sz w:val="28"/>
          <w:szCs w:val="28"/>
          <w:rtl/>
        </w:rPr>
        <w:t>ע</w:t>
      </w:r>
      <w:r w:rsidR="00BE7C9B" w:rsidRPr="001A0B66">
        <w:rPr>
          <w:rFonts w:ascii="FrankRuehl" w:hAnsi="FrankRuehl" w:cs="FrankRuehl"/>
          <w:sz w:val="28"/>
          <w:szCs w:val="28"/>
          <w:rtl/>
        </w:rPr>
        <w:t xml:space="preserve">ורכי הדין המיוחדים אינם הסנגורים </w:t>
      </w:r>
      <w:r w:rsidR="00833E6D" w:rsidRPr="001A0B66">
        <w:rPr>
          <w:rFonts w:ascii="FrankRuehl" w:hAnsi="FrankRuehl" w:cs="FrankRuehl"/>
          <w:sz w:val="28"/>
          <w:szCs w:val="28"/>
          <w:rtl/>
        </w:rPr>
        <w:t>היחידים</w:t>
      </w:r>
      <w:r w:rsidR="00BE7C9B" w:rsidRPr="001A0B66">
        <w:rPr>
          <w:rFonts w:ascii="FrankRuehl" w:hAnsi="FrankRuehl" w:cs="FrankRuehl"/>
          <w:sz w:val="28"/>
          <w:szCs w:val="28"/>
          <w:rtl/>
        </w:rPr>
        <w:t xml:space="preserve"> של העצור</w:t>
      </w:r>
      <w:r w:rsidR="000127ED" w:rsidRPr="001A0B66">
        <w:rPr>
          <w:rFonts w:ascii="FrankRuehl" w:hAnsi="FrankRuehl" w:cs="FrankRuehl"/>
          <w:sz w:val="28"/>
          <w:szCs w:val="28"/>
          <w:rtl/>
        </w:rPr>
        <w:t xml:space="preserve"> –</w:t>
      </w:r>
      <w:r w:rsidR="00BE7C9B" w:rsidRPr="001A0B66">
        <w:rPr>
          <w:rFonts w:ascii="FrankRuehl" w:hAnsi="FrankRuehl" w:cs="FrankRuehl"/>
          <w:sz w:val="28"/>
          <w:szCs w:val="28"/>
          <w:rtl/>
        </w:rPr>
        <w:t xml:space="preserve"> הם </w:t>
      </w:r>
      <w:r w:rsidR="00811F6F" w:rsidRPr="001A0B66">
        <w:rPr>
          <w:rFonts w:ascii="FrankRuehl" w:hAnsi="FrankRuehl" w:cs="FrankRuehl"/>
          <w:sz w:val="28"/>
          <w:szCs w:val="28"/>
          <w:rtl/>
        </w:rPr>
        <w:t>מצטרפים ל</w:t>
      </w:r>
      <w:r w:rsidR="005B62A6" w:rsidRPr="001A0B66">
        <w:rPr>
          <w:rFonts w:ascii="FrankRuehl" w:hAnsi="FrankRuehl" w:cs="FrankRuehl"/>
          <w:sz w:val="28"/>
          <w:szCs w:val="28"/>
          <w:rtl/>
        </w:rPr>
        <w:t>עור</w:t>
      </w:r>
      <w:r w:rsidR="00045F18" w:rsidRPr="001A0B66">
        <w:rPr>
          <w:rFonts w:ascii="FrankRuehl" w:hAnsi="FrankRuehl" w:cs="FrankRuehl"/>
          <w:sz w:val="28"/>
          <w:szCs w:val="28"/>
          <w:rtl/>
        </w:rPr>
        <w:t>ך</w:t>
      </w:r>
      <w:r w:rsidR="005B62A6" w:rsidRPr="001A0B66">
        <w:rPr>
          <w:rFonts w:ascii="FrankRuehl" w:hAnsi="FrankRuehl" w:cs="FrankRuehl"/>
          <w:sz w:val="28"/>
          <w:szCs w:val="28"/>
          <w:rtl/>
        </w:rPr>
        <w:t xml:space="preserve"> הדין הרגיל</w:t>
      </w:r>
      <w:r w:rsidR="00045F18" w:rsidRPr="001A0B66">
        <w:rPr>
          <w:rFonts w:ascii="FrankRuehl" w:hAnsi="FrankRuehl" w:cs="FrankRuehl"/>
          <w:sz w:val="28"/>
          <w:szCs w:val="28"/>
          <w:rtl/>
        </w:rPr>
        <w:t xml:space="preserve"> </w:t>
      </w:r>
      <w:r w:rsidR="00CB515E" w:rsidRPr="001A0B66">
        <w:rPr>
          <w:rFonts w:ascii="FrankRuehl" w:hAnsi="FrankRuehl" w:cs="FrankRuehl"/>
          <w:sz w:val="28"/>
          <w:szCs w:val="28"/>
          <w:rtl/>
        </w:rPr>
        <w:t xml:space="preserve">– ופועלים </w:t>
      </w:r>
      <w:r w:rsidR="00045F18" w:rsidRPr="001A0B66">
        <w:rPr>
          <w:rFonts w:ascii="FrankRuehl" w:hAnsi="FrankRuehl" w:cs="FrankRuehl"/>
          <w:sz w:val="28"/>
          <w:szCs w:val="28"/>
          <w:rtl/>
        </w:rPr>
        <w:t xml:space="preserve">בתפקיד שהוא </w:t>
      </w:r>
      <w:r w:rsidR="00CB515E" w:rsidRPr="001A0B66">
        <w:rPr>
          <w:rFonts w:ascii="FrankRuehl" w:hAnsi="FrankRuehl" w:cs="FrankRuehl"/>
          <w:sz w:val="28"/>
          <w:szCs w:val="28"/>
          <w:rtl/>
        </w:rPr>
        <w:t xml:space="preserve">מעט </w:t>
      </w:r>
      <w:r w:rsidR="00045F18" w:rsidRPr="001A0B66">
        <w:rPr>
          <w:rFonts w:ascii="FrankRuehl" w:hAnsi="FrankRuehl" w:cs="FrankRuehl"/>
          <w:sz w:val="28"/>
          <w:szCs w:val="28"/>
          <w:rtl/>
        </w:rPr>
        <w:t>היברידי, בין המדינה לעצור</w:t>
      </w:r>
      <w:r w:rsidR="000127ED" w:rsidRPr="001A0B66">
        <w:rPr>
          <w:rFonts w:ascii="FrankRuehl" w:hAnsi="FrankRuehl" w:cs="FrankRuehl"/>
          <w:sz w:val="28"/>
          <w:szCs w:val="28"/>
          <w:rtl/>
        </w:rPr>
        <w:t>; לכן הבעיה היא חלקית בלבד</w:t>
      </w:r>
      <w:r w:rsidR="00F20437" w:rsidRPr="001A0B66">
        <w:rPr>
          <w:rFonts w:ascii="FrankRuehl" w:hAnsi="FrankRuehl" w:cs="FrankRuehl"/>
          <w:sz w:val="28"/>
          <w:szCs w:val="28"/>
          <w:rtl/>
        </w:rPr>
        <w:t xml:space="preserve">. הצעתנו מותירה </w:t>
      </w:r>
      <w:r w:rsidR="00195803" w:rsidRPr="001A0B66">
        <w:rPr>
          <w:rFonts w:ascii="FrankRuehl" w:hAnsi="FrankRuehl" w:cs="FrankRuehl"/>
          <w:sz w:val="28"/>
          <w:szCs w:val="28"/>
          <w:rtl/>
        </w:rPr>
        <w:t xml:space="preserve">על כנו </w:t>
      </w:r>
      <w:r w:rsidR="00F20437" w:rsidRPr="001A0B66">
        <w:rPr>
          <w:rFonts w:ascii="FrankRuehl" w:hAnsi="FrankRuehl" w:cs="FrankRuehl"/>
          <w:sz w:val="28"/>
          <w:szCs w:val="28"/>
          <w:rtl/>
        </w:rPr>
        <w:t xml:space="preserve">את תפקידם של </w:t>
      </w:r>
      <w:r w:rsidR="00BE7C9B" w:rsidRPr="001A0B66">
        <w:rPr>
          <w:rFonts w:ascii="FrankRuehl" w:hAnsi="FrankRuehl" w:cs="FrankRuehl"/>
          <w:sz w:val="28"/>
          <w:szCs w:val="28"/>
          <w:rtl/>
        </w:rPr>
        <w:t xml:space="preserve">עורכי הדין </w:t>
      </w:r>
      <w:r w:rsidR="005B62A6" w:rsidRPr="001A0B66">
        <w:rPr>
          <w:rFonts w:ascii="FrankRuehl" w:hAnsi="FrankRuehl" w:cs="FrankRuehl"/>
          <w:sz w:val="28"/>
          <w:szCs w:val="28"/>
          <w:rtl/>
        </w:rPr>
        <w:t>הרגילים</w:t>
      </w:r>
      <w:r w:rsidR="00833E6D" w:rsidRPr="001A0B66">
        <w:rPr>
          <w:rFonts w:ascii="FrankRuehl" w:hAnsi="FrankRuehl" w:cs="FrankRuehl"/>
          <w:sz w:val="28"/>
          <w:szCs w:val="28"/>
          <w:rtl/>
        </w:rPr>
        <w:t xml:space="preserve"> </w:t>
      </w:r>
      <w:r w:rsidR="00BE7C9B" w:rsidRPr="001A0B66">
        <w:rPr>
          <w:rFonts w:ascii="FrankRuehl" w:hAnsi="FrankRuehl" w:cs="FrankRuehl"/>
          <w:sz w:val="28"/>
          <w:szCs w:val="28"/>
          <w:rtl/>
        </w:rPr>
        <w:t>המייצגים את העצורים</w:t>
      </w:r>
      <w:r w:rsidR="00045F18" w:rsidRPr="001A0B66">
        <w:rPr>
          <w:rFonts w:ascii="FrankRuehl" w:hAnsi="FrankRuehl" w:cs="FrankRuehl"/>
          <w:sz w:val="28"/>
          <w:szCs w:val="28"/>
          <w:rtl/>
        </w:rPr>
        <w:t>, ומוסיפה לו סנגור צבאי או אזרחי ש</w:t>
      </w:r>
      <w:r w:rsidR="000127ED" w:rsidRPr="001A0B66">
        <w:rPr>
          <w:rFonts w:ascii="FrankRuehl" w:hAnsi="FrankRuehl" w:cs="FrankRuehl"/>
          <w:sz w:val="28"/>
          <w:szCs w:val="28"/>
          <w:rtl/>
        </w:rPr>
        <w:t xml:space="preserve">מערכת היחסים </w:t>
      </w:r>
      <w:proofErr w:type="spellStart"/>
      <w:r w:rsidR="000127ED" w:rsidRPr="001A0B66">
        <w:rPr>
          <w:rFonts w:ascii="FrankRuehl" w:hAnsi="FrankRuehl" w:cs="FrankRuehl"/>
          <w:sz w:val="28"/>
          <w:szCs w:val="28"/>
          <w:rtl/>
        </w:rPr>
        <w:t>איתו</w:t>
      </w:r>
      <w:proofErr w:type="spellEnd"/>
      <w:r w:rsidR="000127ED" w:rsidRPr="001A0B66">
        <w:rPr>
          <w:rFonts w:ascii="FrankRuehl" w:hAnsi="FrankRuehl" w:cs="FrankRuehl"/>
          <w:sz w:val="28"/>
          <w:szCs w:val="28"/>
          <w:rtl/>
        </w:rPr>
        <w:t xml:space="preserve"> </w:t>
      </w:r>
      <w:r w:rsidR="00045F18" w:rsidRPr="001A0B66">
        <w:rPr>
          <w:rFonts w:ascii="FrankRuehl" w:hAnsi="FrankRuehl" w:cs="FrankRuehl"/>
          <w:sz w:val="28"/>
          <w:szCs w:val="28"/>
          <w:rtl/>
        </w:rPr>
        <w:t>אינ</w:t>
      </w:r>
      <w:r w:rsidR="000127ED" w:rsidRPr="001A0B66">
        <w:rPr>
          <w:rFonts w:ascii="FrankRuehl" w:hAnsi="FrankRuehl" w:cs="FrankRuehl"/>
          <w:sz w:val="28"/>
          <w:szCs w:val="28"/>
          <w:rtl/>
        </w:rPr>
        <w:t>ה</w:t>
      </w:r>
      <w:r w:rsidR="00045F18" w:rsidRPr="001A0B66">
        <w:rPr>
          <w:rFonts w:ascii="FrankRuehl" w:hAnsi="FrankRuehl" w:cs="FrankRuehl"/>
          <w:sz w:val="28"/>
          <w:szCs w:val="28"/>
          <w:rtl/>
        </w:rPr>
        <w:t xml:space="preserve"> מחייב</w:t>
      </w:r>
      <w:r w:rsidR="000127ED" w:rsidRPr="001A0B66">
        <w:rPr>
          <w:rFonts w:ascii="FrankRuehl" w:hAnsi="FrankRuehl" w:cs="FrankRuehl"/>
          <w:sz w:val="28"/>
          <w:szCs w:val="28"/>
          <w:rtl/>
        </w:rPr>
        <w:t>ת</w:t>
      </w:r>
      <w:r w:rsidR="00045F18" w:rsidRPr="001A0B66">
        <w:rPr>
          <w:rFonts w:ascii="FrankRuehl" w:hAnsi="FrankRuehl" w:cs="FrankRuehl"/>
          <w:sz w:val="28"/>
          <w:szCs w:val="28"/>
          <w:rtl/>
        </w:rPr>
        <w:t xml:space="preserve"> דרגת אמון כמו זו שנותן העצור ב</w:t>
      </w:r>
      <w:r w:rsidR="00BA200C" w:rsidRPr="001A0B66">
        <w:rPr>
          <w:rFonts w:ascii="FrankRuehl" w:hAnsi="FrankRuehl" w:cs="FrankRuehl"/>
          <w:sz w:val="28"/>
          <w:szCs w:val="28"/>
          <w:rtl/>
        </w:rPr>
        <w:t>עורך דינו הרגיל</w:t>
      </w:r>
      <w:r w:rsidR="00BE7C9B" w:rsidRPr="001A0B66">
        <w:rPr>
          <w:rFonts w:ascii="FrankRuehl" w:hAnsi="FrankRuehl" w:cs="FrankRuehl"/>
          <w:sz w:val="28"/>
          <w:szCs w:val="28"/>
          <w:rtl/>
        </w:rPr>
        <w:t>.</w:t>
      </w:r>
      <w:r w:rsidR="00833E6D" w:rsidRPr="001A0B66">
        <w:rPr>
          <w:rFonts w:ascii="FrankRuehl" w:hAnsi="FrankRuehl" w:cs="FrankRuehl"/>
          <w:sz w:val="28"/>
          <w:szCs w:val="28"/>
          <w:rtl/>
        </w:rPr>
        <w:t xml:space="preserve"> </w:t>
      </w:r>
    </w:p>
    <w:p w14:paraId="51371A40" w14:textId="77777777" w:rsidR="007C3DBF" w:rsidRPr="001A0B66" w:rsidRDefault="001021B8" w:rsidP="00F307FB">
      <w:pPr>
        <w:pStyle w:val="a1"/>
        <w:spacing w:line="276" w:lineRule="auto"/>
        <w:rPr>
          <w:rFonts w:ascii="FrankRuehl" w:hAnsi="FrankRuehl" w:cs="FrankRuehl"/>
          <w:sz w:val="28"/>
          <w:szCs w:val="28"/>
        </w:rPr>
      </w:pPr>
      <w:r w:rsidRPr="001A0B66">
        <w:rPr>
          <w:rFonts w:ascii="FrankRuehl" w:hAnsi="FrankRuehl" w:cs="FrankRuehl"/>
          <w:b/>
          <w:bCs/>
          <w:sz w:val="28"/>
          <w:szCs w:val="28"/>
          <w:rtl/>
        </w:rPr>
        <w:t>השימוש בסנגורים צבאיים</w:t>
      </w:r>
      <w:r w:rsidRPr="001A0B66">
        <w:rPr>
          <w:rFonts w:ascii="FrankRuehl" w:hAnsi="FrankRuehl" w:cs="FrankRuehl"/>
          <w:sz w:val="28"/>
          <w:szCs w:val="28"/>
          <w:rtl/>
        </w:rPr>
        <w:t>:</w:t>
      </w:r>
      <w:r w:rsidR="005862D2" w:rsidRPr="001A0B66">
        <w:rPr>
          <w:rFonts w:ascii="FrankRuehl" w:hAnsi="FrankRuehl" w:cs="FrankRuehl"/>
          <w:sz w:val="28"/>
          <w:szCs w:val="28"/>
          <w:rtl/>
        </w:rPr>
        <w:t xml:space="preserve"> </w:t>
      </w:r>
      <w:r w:rsidR="000127ED" w:rsidRPr="001A0B66">
        <w:rPr>
          <w:rFonts w:ascii="FrankRuehl" w:hAnsi="FrankRuehl" w:cs="FrankRuehl"/>
          <w:sz w:val="28"/>
          <w:szCs w:val="28"/>
          <w:rtl/>
        </w:rPr>
        <w:t>כ</w:t>
      </w:r>
      <w:r w:rsidR="007C3DBF" w:rsidRPr="001A0B66">
        <w:rPr>
          <w:rFonts w:ascii="FrankRuehl" w:hAnsi="FrankRuehl" w:cs="FrankRuehl"/>
          <w:sz w:val="28"/>
          <w:szCs w:val="28"/>
          <w:rtl/>
        </w:rPr>
        <w:t xml:space="preserve">יום הסנגוריה הצבאית אינה </w:t>
      </w:r>
      <w:r w:rsidR="000127ED" w:rsidRPr="001A0B66">
        <w:rPr>
          <w:rFonts w:ascii="FrankRuehl" w:hAnsi="FrankRuehl" w:cs="FrankRuehl"/>
          <w:sz w:val="28"/>
          <w:szCs w:val="28"/>
          <w:rtl/>
        </w:rPr>
        <w:t xml:space="preserve">מעניקה </w:t>
      </w:r>
      <w:r w:rsidR="007C3DBF" w:rsidRPr="001A0B66">
        <w:rPr>
          <w:rFonts w:ascii="FrankRuehl" w:hAnsi="FrankRuehl" w:cs="FrankRuehl"/>
          <w:sz w:val="28"/>
          <w:szCs w:val="28"/>
          <w:rtl/>
        </w:rPr>
        <w:t xml:space="preserve">הגנה משפטית בשטחים, וגם בישראל היא אחראית ככלל לייצוגם של חיילים ולא </w:t>
      </w:r>
      <w:r w:rsidR="00262E42" w:rsidRPr="001A0B66">
        <w:rPr>
          <w:rFonts w:ascii="FrankRuehl" w:hAnsi="FrankRuehl" w:cs="FrankRuehl"/>
          <w:sz w:val="28"/>
          <w:szCs w:val="28"/>
          <w:rtl/>
        </w:rPr>
        <w:t>מי שאינם חיילים</w:t>
      </w:r>
      <w:r w:rsidR="007C3DBF" w:rsidRPr="001A0B66">
        <w:rPr>
          <w:rFonts w:ascii="FrankRuehl" w:hAnsi="FrankRuehl" w:cs="FrankRuehl"/>
          <w:sz w:val="28"/>
          <w:szCs w:val="28"/>
          <w:rtl/>
        </w:rPr>
        <w:t>.</w:t>
      </w:r>
      <w:r w:rsidR="001A0066" w:rsidRPr="001A0B66">
        <w:rPr>
          <w:rFonts w:ascii="FrankRuehl" w:hAnsi="FrankRuehl" w:cs="FrankRuehl"/>
          <w:sz w:val="28"/>
          <w:szCs w:val="28"/>
          <w:vertAlign w:val="superscript"/>
          <w:rtl/>
        </w:rPr>
        <w:footnoteReference w:id="140"/>
      </w:r>
      <w:r w:rsidR="007C3DBF" w:rsidRPr="001A0B66">
        <w:rPr>
          <w:rFonts w:ascii="FrankRuehl" w:hAnsi="FrankRuehl" w:cs="FrankRuehl"/>
          <w:sz w:val="28"/>
          <w:szCs w:val="28"/>
          <w:rtl/>
        </w:rPr>
        <w:t xml:space="preserve"> </w:t>
      </w:r>
      <w:r w:rsidR="00785DE2" w:rsidRPr="001A0B66">
        <w:rPr>
          <w:rFonts w:ascii="FrankRuehl" w:hAnsi="FrankRuehl" w:cs="FrankRuehl"/>
          <w:sz w:val="28"/>
          <w:szCs w:val="28"/>
          <w:rtl/>
        </w:rPr>
        <w:t>הצעתנו להסתייע בסנגורים צבאיים כעורכי דין מיוחדים נושאת ע</w:t>
      </w:r>
      <w:r w:rsidR="00836624" w:rsidRPr="001A0B66">
        <w:rPr>
          <w:rFonts w:ascii="FrankRuehl" w:hAnsi="FrankRuehl" w:cs="FrankRuehl"/>
          <w:sz w:val="28"/>
          <w:szCs w:val="28"/>
          <w:rtl/>
        </w:rPr>
        <w:t>י</w:t>
      </w:r>
      <w:r w:rsidR="00785DE2" w:rsidRPr="001A0B66">
        <w:rPr>
          <w:rFonts w:ascii="FrankRuehl" w:hAnsi="FrankRuehl" w:cs="FrankRuehl"/>
          <w:sz w:val="28"/>
          <w:szCs w:val="28"/>
          <w:rtl/>
        </w:rPr>
        <w:t>מה לפיכך שני שינויים עמוקים</w:t>
      </w:r>
      <w:r w:rsidR="007C3DBF" w:rsidRPr="001A0B66">
        <w:rPr>
          <w:rFonts w:ascii="FrankRuehl" w:hAnsi="FrankRuehl" w:cs="FrankRuehl"/>
          <w:sz w:val="28"/>
          <w:szCs w:val="28"/>
          <w:rtl/>
        </w:rPr>
        <w:t xml:space="preserve">: ייצוג אזרחים </w:t>
      </w:r>
      <w:r w:rsidR="0083066F" w:rsidRPr="001A0B66">
        <w:rPr>
          <w:rFonts w:ascii="FrankRuehl" w:hAnsi="FrankRuehl" w:cs="FrankRuehl"/>
          <w:sz w:val="28"/>
          <w:szCs w:val="28"/>
          <w:rtl/>
        </w:rPr>
        <w:t>וייצוג</w:t>
      </w:r>
      <w:r w:rsidR="007C3DBF" w:rsidRPr="001A0B66">
        <w:rPr>
          <w:rFonts w:ascii="FrankRuehl" w:hAnsi="FrankRuehl" w:cs="FrankRuehl"/>
          <w:sz w:val="28"/>
          <w:szCs w:val="28"/>
          <w:rtl/>
        </w:rPr>
        <w:t xml:space="preserve"> אוכלוסי</w:t>
      </w:r>
      <w:r w:rsidR="00785DE2" w:rsidRPr="001A0B66">
        <w:rPr>
          <w:rFonts w:ascii="FrankRuehl" w:hAnsi="FrankRuehl" w:cs="FrankRuehl"/>
          <w:sz w:val="28"/>
          <w:szCs w:val="28"/>
          <w:rtl/>
        </w:rPr>
        <w:t>י</w:t>
      </w:r>
      <w:r w:rsidR="007C3DBF" w:rsidRPr="001A0B66">
        <w:rPr>
          <w:rFonts w:ascii="FrankRuehl" w:hAnsi="FrankRuehl" w:cs="FrankRuehl"/>
          <w:sz w:val="28"/>
          <w:szCs w:val="28"/>
          <w:rtl/>
        </w:rPr>
        <w:t>ה מוגנת בשטח כבוש</w:t>
      </w:r>
      <w:r w:rsidR="00045F18" w:rsidRPr="001A0B66">
        <w:rPr>
          <w:rFonts w:ascii="FrankRuehl" w:hAnsi="FrankRuehl" w:cs="FrankRuehl"/>
          <w:sz w:val="28"/>
          <w:szCs w:val="28"/>
          <w:rtl/>
        </w:rPr>
        <w:t>,</w:t>
      </w:r>
      <w:r w:rsidR="00785DE2" w:rsidRPr="001A0B66">
        <w:rPr>
          <w:rFonts w:ascii="FrankRuehl" w:hAnsi="FrankRuehl" w:cs="FrankRuehl"/>
          <w:sz w:val="28"/>
          <w:szCs w:val="28"/>
          <w:rtl/>
        </w:rPr>
        <w:t xml:space="preserve"> </w:t>
      </w:r>
      <w:r w:rsidR="00AD3675" w:rsidRPr="001A0B66">
        <w:rPr>
          <w:rFonts w:ascii="FrankRuehl" w:hAnsi="FrankRuehl" w:cs="FrankRuehl"/>
          <w:sz w:val="28"/>
          <w:szCs w:val="28"/>
          <w:rtl/>
        </w:rPr>
        <w:t>משמע בני</w:t>
      </w:r>
      <w:r w:rsidR="000127ED" w:rsidRPr="001A0B66">
        <w:rPr>
          <w:rFonts w:ascii="FrankRuehl" w:hAnsi="FrankRuehl" w:cs="FrankRuehl"/>
          <w:sz w:val="28"/>
          <w:szCs w:val="28"/>
          <w:rtl/>
        </w:rPr>
        <w:t xml:space="preserve"> </w:t>
      </w:r>
      <w:r w:rsidR="00AD3675" w:rsidRPr="001A0B66">
        <w:rPr>
          <w:rFonts w:ascii="FrankRuehl" w:hAnsi="FrankRuehl" w:cs="FrankRuehl"/>
          <w:sz w:val="28"/>
          <w:szCs w:val="28"/>
          <w:rtl/>
        </w:rPr>
        <w:t>אדם ש</w:t>
      </w:r>
      <w:r w:rsidR="00045F18" w:rsidRPr="001A0B66">
        <w:rPr>
          <w:rFonts w:ascii="FrankRuehl" w:hAnsi="FrankRuehl" w:cs="FrankRuehl"/>
          <w:sz w:val="28"/>
          <w:szCs w:val="28"/>
          <w:rtl/>
        </w:rPr>
        <w:t>ספק רב אם י</w:t>
      </w:r>
      <w:r w:rsidR="00195803" w:rsidRPr="001A0B66">
        <w:rPr>
          <w:rFonts w:ascii="FrankRuehl" w:hAnsi="FrankRuehl" w:cs="FrankRuehl"/>
          <w:sz w:val="28"/>
          <w:szCs w:val="28"/>
          <w:rtl/>
        </w:rPr>
        <w:t>י</w:t>
      </w:r>
      <w:r w:rsidR="00045F18" w:rsidRPr="001A0B66">
        <w:rPr>
          <w:rFonts w:ascii="FrankRuehl" w:hAnsi="FrankRuehl" w:cs="FrankRuehl"/>
          <w:sz w:val="28"/>
          <w:szCs w:val="28"/>
          <w:rtl/>
        </w:rPr>
        <w:t>תנו</w:t>
      </w:r>
      <w:r w:rsidR="007C3DBF" w:rsidRPr="001A0B66">
        <w:rPr>
          <w:rFonts w:ascii="FrankRuehl" w:hAnsi="FrankRuehl" w:cs="FrankRuehl"/>
          <w:sz w:val="28"/>
          <w:szCs w:val="28"/>
          <w:rtl/>
        </w:rPr>
        <w:t xml:space="preserve"> אמון ב</w:t>
      </w:r>
      <w:r w:rsidR="00785DE2" w:rsidRPr="001A0B66">
        <w:rPr>
          <w:rFonts w:ascii="FrankRuehl" w:hAnsi="FrankRuehl" w:cs="FrankRuehl"/>
          <w:sz w:val="28"/>
          <w:szCs w:val="28"/>
          <w:rtl/>
        </w:rPr>
        <w:t>עור</w:t>
      </w:r>
      <w:r w:rsidR="00BC5C64" w:rsidRPr="001A0B66">
        <w:rPr>
          <w:rFonts w:ascii="FrankRuehl" w:hAnsi="FrankRuehl" w:cs="FrankRuehl"/>
          <w:sz w:val="28"/>
          <w:szCs w:val="28"/>
          <w:rtl/>
        </w:rPr>
        <w:t>כת</w:t>
      </w:r>
      <w:r w:rsidR="00785DE2" w:rsidRPr="001A0B66">
        <w:rPr>
          <w:rFonts w:ascii="FrankRuehl" w:hAnsi="FrankRuehl" w:cs="FrankRuehl"/>
          <w:sz w:val="28"/>
          <w:szCs w:val="28"/>
          <w:rtl/>
        </w:rPr>
        <w:t xml:space="preserve"> דין</w:t>
      </w:r>
      <w:r w:rsidR="007C3DBF" w:rsidRPr="001A0B66">
        <w:rPr>
          <w:rFonts w:ascii="FrankRuehl" w:hAnsi="FrankRuehl" w:cs="FrankRuehl"/>
          <w:sz w:val="28"/>
          <w:szCs w:val="28"/>
          <w:rtl/>
        </w:rPr>
        <w:t xml:space="preserve"> מיוחד</w:t>
      </w:r>
      <w:r w:rsidR="00BC5C64" w:rsidRPr="001A0B66">
        <w:rPr>
          <w:rFonts w:ascii="FrankRuehl" w:hAnsi="FrankRuehl" w:cs="FrankRuehl"/>
          <w:sz w:val="28"/>
          <w:szCs w:val="28"/>
          <w:rtl/>
        </w:rPr>
        <w:t>ת</w:t>
      </w:r>
      <w:r w:rsidR="007C3DBF" w:rsidRPr="001A0B66">
        <w:rPr>
          <w:rFonts w:ascii="FrankRuehl" w:hAnsi="FrankRuehl" w:cs="FrankRuehl"/>
          <w:sz w:val="28"/>
          <w:szCs w:val="28"/>
          <w:rtl/>
        </w:rPr>
        <w:t xml:space="preserve"> </w:t>
      </w:r>
      <w:r w:rsidR="00785DE2" w:rsidRPr="001A0B66">
        <w:rPr>
          <w:rFonts w:ascii="FrankRuehl" w:hAnsi="FrankRuehl" w:cs="FrankRuehl"/>
          <w:sz w:val="28"/>
          <w:szCs w:val="28"/>
          <w:rtl/>
        </w:rPr>
        <w:t>ה</w:t>
      </w:r>
      <w:r w:rsidR="005B62A6" w:rsidRPr="001A0B66">
        <w:rPr>
          <w:rFonts w:ascii="FrankRuehl" w:hAnsi="FrankRuehl" w:cs="FrankRuehl"/>
          <w:sz w:val="28"/>
          <w:szCs w:val="28"/>
          <w:rtl/>
        </w:rPr>
        <w:t>פועל</w:t>
      </w:r>
      <w:r w:rsidR="00BC5C64" w:rsidRPr="001A0B66">
        <w:rPr>
          <w:rFonts w:ascii="FrankRuehl" w:hAnsi="FrankRuehl" w:cs="FrankRuehl"/>
          <w:sz w:val="28"/>
          <w:szCs w:val="28"/>
          <w:rtl/>
        </w:rPr>
        <w:t>ת</w:t>
      </w:r>
      <w:r w:rsidR="005B62A6" w:rsidRPr="001A0B66">
        <w:rPr>
          <w:rFonts w:ascii="FrankRuehl" w:hAnsi="FrankRuehl" w:cs="FrankRuehl"/>
          <w:sz w:val="28"/>
          <w:szCs w:val="28"/>
          <w:rtl/>
        </w:rPr>
        <w:t xml:space="preserve"> מטעם </w:t>
      </w:r>
      <w:r w:rsidR="007C3DBF" w:rsidRPr="001A0B66">
        <w:rPr>
          <w:rFonts w:ascii="FrankRuehl" w:hAnsi="FrankRuehl" w:cs="FrankRuehl"/>
          <w:sz w:val="28"/>
          <w:szCs w:val="28"/>
          <w:rtl/>
        </w:rPr>
        <w:t>צבא</w:t>
      </w:r>
      <w:r w:rsidR="00BC2700" w:rsidRPr="001A0B66">
        <w:rPr>
          <w:rFonts w:ascii="FrankRuehl" w:hAnsi="FrankRuehl" w:cs="FrankRuehl"/>
          <w:sz w:val="28"/>
          <w:szCs w:val="28"/>
          <w:rtl/>
        </w:rPr>
        <w:t xml:space="preserve"> המ</w:t>
      </w:r>
      <w:r w:rsidR="00BC5C64" w:rsidRPr="001A0B66">
        <w:rPr>
          <w:rFonts w:ascii="FrankRuehl" w:hAnsi="FrankRuehl" w:cs="FrankRuehl"/>
          <w:sz w:val="28"/>
          <w:szCs w:val="28"/>
          <w:rtl/>
        </w:rPr>
        <w:t>דינ</w:t>
      </w:r>
      <w:r w:rsidR="00BC2700" w:rsidRPr="001A0B66">
        <w:rPr>
          <w:rFonts w:ascii="FrankRuehl" w:hAnsi="FrankRuehl" w:cs="FrankRuehl"/>
          <w:sz w:val="28"/>
          <w:szCs w:val="28"/>
          <w:rtl/>
        </w:rPr>
        <w:t>ה הכובשת</w:t>
      </w:r>
      <w:r w:rsidR="007C3DBF" w:rsidRPr="001A0B66">
        <w:rPr>
          <w:rFonts w:ascii="FrankRuehl" w:hAnsi="FrankRuehl" w:cs="FrankRuehl"/>
          <w:sz w:val="28"/>
          <w:szCs w:val="28"/>
          <w:rtl/>
        </w:rPr>
        <w:t xml:space="preserve">. </w:t>
      </w:r>
      <w:r w:rsidR="000127ED" w:rsidRPr="001A0B66">
        <w:rPr>
          <w:rFonts w:ascii="FrankRuehl" w:hAnsi="FrankRuehl" w:cs="FrankRuehl"/>
          <w:sz w:val="28"/>
          <w:szCs w:val="28"/>
          <w:rtl/>
        </w:rPr>
        <w:t xml:space="preserve">ובכל זאת, כמה </w:t>
      </w:r>
      <w:r w:rsidR="00FA4522" w:rsidRPr="001A0B66">
        <w:rPr>
          <w:rFonts w:ascii="FrankRuehl" w:hAnsi="FrankRuehl" w:cs="FrankRuehl"/>
          <w:sz w:val="28"/>
          <w:szCs w:val="28"/>
          <w:rtl/>
        </w:rPr>
        <w:t>עניינים</w:t>
      </w:r>
      <w:r w:rsidR="000127ED" w:rsidRPr="001A0B66">
        <w:rPr>
          <w:rFonts w:ascii="FrankRuehl" w:hAnsi="FrankRuehl" w:cs="FrankRuehl"/>
          <w:sz w:val="28"/>
          <w:szCs w:val="28"/>
          <w:rtl/>
        </w:rPr>
        <w:t xml:space="preserve"> </w:t>
      </w:r>
      <w:r w:rsidR="0083066F" w:rsidRPr="001A0B66">
        <w:rPr>
          <w:rFonts w:ascii="FrankRuehl" w:hAnsi="FrankRuehl" w:cs="FrankRuehl"/>
          <w:sz w:val="28"/>
          <w:szCs w:val="28"/>
          <w:rtl/>
        </w:rPr>
        <w:t>מובילים</w:t>
      </w:r>
      <w:r w:rsidR="000127ED" w:rsidRPr="001A0B66">
        <w:rPr>
          <w:rFonts w:ascii="FrankRuehl" w:hAnsi="FrankRuehl" w:cs="FrankRuehl"/>
          <w:sz w:val="28"/>
          <w:szCs w:val="28"/>
          <w:rtl/>
        </w:rPr>
        <w:t xml:space="preserve"> אותנו לתמוך</w:t>
      </w:r>
      <w:r w:rsidR="00086293" w:rsidRPr="001A0B66">
        <w:rPr>
          <w:rFonts w:ascii="FrankRuehl" w:hAnsi="FrankRuehl" w:cs="FrankRuehl"/>
          <w:sz w:val="28"/>
          <w:szCs w:val="28"/>
          <w:rtl/>
        </w:rPr>
        <w:t xml:space="preserve"> בהצעה זו</w:t>
      </w:r>
      <w:r w:rsidR="007C3DBF" w:rsidRPr="001A0B66">
        <w:rPr>
          <w:rFonts w:ascii="FrankRuehl" w:hAnsi="FrankRuehl" w:cs="FrankRuehl"/>
          <w:sz w:val="28"/>
          <w:szCs w:val="28"/>
          <w:rtl/>
        </w:rPr>
        <w:t>:</w:t>
      </w:r>
    </w:p>
    <w:p w14:paraId="49F6E6FC" w14:textId="77777777" w:rsidR="003B33EC" w:rsidRPr="001A0B66" w:rsidRDefault="003B33EC" w:rsidP="00F307FB">
      <w:pPr>
        <w:pStyle w:val="a1"/>
        <w:numPr>
          <w:ilvl w:val="0"/>
          <w:numId w:val="43"/>
        </w:numPr>
        <w:spacing w:line="276" w:lineRule="auto"/>
        <w:rPr>
          <w:rFonts w:ascii="FrankRuehl" w:hAnsi="FrankRuehl" w:cs="FrankRuehl"/>
          <w:sz w:val="28"/>
          <w:szCs w:val="28"/>
        </w:rPr>
      </w:pPr>
      <w:r w:rsidRPr="001A0B66">
        <w:rPr>
          <w:rFonts w:ascii="FrankRuehl" w:hAnsi="FrankRuehl" w:cs="FrankRuehl"/>
          <w:sz w:val="28"/>
          <w:szCs w:val="28"/>
          <w:rtl/>
        </w:rPr>
        <w:t>בניגוד לסנגוריה הציבורית, לרשויות הצבא יש סמכות לפעול בשטחי הגדה המערבית</w:t>
      </w:r>
      <w:r w:rsidR="0083066F" w:rsidRPr="001A0B66">
        <w:rPr>
          <w:rFonts w:ascii="FrankRuehl" w:hAnsi="FrankRuehl" w:cs="FrankRuehl"/>
          <w:sz w:val="28"/>
          <w:szCs w:val="28"/>
          <w:rtl/>
        </w:rPr>
        <w:t>;</w:t>
      </w:r>
      <w:r w:rsidRPr="001A0B66">
        <w:rPr>
          <w:rFonts w:ascii="FrankRuehl" w:hAnsi="FrankRuehl" w:cs="FrankRuehl"/>
          <w:sz w:val="28"/>
          <w:szCs w:val="28"/>
          <w:rtl/>
        </w:rPr>
        <w:t xml:space="preserve"> ואכן</w:t>
      </w:r>
      <w:r w:rsidR="0083066F" w:rsidRPr="001A0B66">
        <w:rPr>
          <w:rFonts w:ascii="FrankRuehl" w:hAnsi="FrankRuehl" w:cs="FrankRuehl"/>
          <w:sz w:val="28"/>
          <w:szCs w:val="28"/>
          <w:rtl/>
        </w:rPr>
        <w:t>,</w:t>
      </w:r>
      <w:r w:rsidRPr="001A0B66">
        <w:rPr>
          <w:rFonts w:ascii="FrankRuehl" w:hAnsi="FrankRuehl" w:cs="FrankRuehl"/>
          <w:sz w:val="28"/>
          <w:szCs w:val="28"/>
          <w:rtl/>
        </w:rPr>
        <w:t xml:space="preserve"> התביעה</w:t>
      </w:r>
      <w:r w:rsidR="0083066F" w:rsidRPr="001A0B66">
        <w:rPr>
          <w:rFonts w:ascii="FrankRuehl" w:hAnsi="FrankRuehl" w:cs="FrankRuehl"/>
          <w:sz w:val="28"/>
          <w:szCs w:val="28"/>
          <w:rtl/>
        </w:rPr>
        <w:t xml:space="preserve"> הצבאית מייצגת את המדינה גם</w:t>
      </w:r>
      <w:r w:rsidRPr="001A0B66">
        <w:rPr>
          <w:rFonts w:ascii="FrankRuehl" w:hAnsi="FrankRuehl" w:cs="FrankRuehl"/>
          <w:sz w:val="28"/>
          <w:szCs w:val="28"/>
          <w:rtl/>
        </w:rPr>
        <w:t xml:space="preserve"> בבתי המשפט הצבאיים. מבחינת אחריות מנהלית, כפי שבישראל משרד המשפטים אחראי </w:t>
      </w:r>
      <w:r w:rsidR="0083066F" w:rsidRPr="001A0B66">
        <w:rPr>
          <w:rFonts w:ascii="FrankRuehl" w:hAnsi="FrankRuehl" w:cs="FrankRuehl"/>
          <w:sz w:val="28"/>
          <w:szCs w:val="28"/>
          <w:rtl/>
        </w:rPr>
        <w:t xml:space="preserve">הן </w:t>
      </w:r>
      <w:r w:rsidRPr="001A0B66">
        <w:rPr>
          <w:rFonts w:ascii="FrankRuehl" w:hAnsi="FrankRuehl" w:cs="FrankRuehl"/>
          <w:sz w:val="28"/>
          <w:szCs w:val="28"/>
          <w:rtl/>
        </w:rPr>
        <w:t xml:space="preserve">על התביעה </w:t>
      </w:r>
      <w:r w:rsidR="0083066F" w:rsidRPr="001A0B66">
        <w:rPr>
          <w:rFonts w:ascii="FrankRuehl" w:hAnsi="FrankRuehl" w:cs="FrankRuehl"/>
          <w:sz w:val="28"/>
          <w:szCs w:val="28"/>
          <w:rtl/>
        </w:rPr>
        <w:t xml:space="preserve">והן </w:t>
      </w:r>
      <w:r w:rsidRPr="001A0B66">
        <w:rPr>
          <w:rFonts w:ascii="FrankRuehl" w:hAnsi="FrankRuehl" w:cs="FrankRuehl"/>
          <w:sz w:val="28"/>
          <w:szCs w:val="28"/>
          <w:rtl/>
        </w:rPr>
        <w:t>על הסנגוריה הציבורית, ו</w:t>
      </w:r>
      <w:r w:rsidR="00785DE2" w:rsidRPr="001A0B66">
        <w:rPr>
          <w:rFonts w:ascii="FrankRuehl" w:hAnsi="FrankRuehl" w:cs="FrankRuehl"/>
          <w:sz w:val="28"/>
          <w:szCs w:val="28"/>
          <w:rtl/>
        </w:rPr>
        <w:t>כפי ש</w:t>
      </w:r>
      <w:r w:rsidRPr="001A0B66">
        <w:rPr>
          <w:rFonts w:ascii="FrankRuehl" w:hAnsi="FrankRuehl" w:cs="FrankRuehl"/>
          <w:sz w:val="28"/>
          <w:szCs w:val="28"/>
          <w:rtl/>
        </w:rPr>
        <w:t xml:space="preserve">במסגרת הדין </w:t>
      </w:r>
      <w:r w:rsidR="00785DE2" w:rsidRPr="001A0B66">
        <w:rPr>
          <w:rFonts w:ascii="FrankRuehl" w:hAnsi="FrankRuehl" w:cs="FrankRuehl"/>
          <w:sz w:val="28"/>
          <w:szCs w:val="28"/>
          <w:rtl/>
        </w:rPr>
        <w:t>הצבאי</w:t>
      </w:r>
      <w:r w:rsidRPr="001A0B66">
        <w:rPr>
          <w:rFonts w:ascii="FrankRuehl" w:hAnsi="FrankRuehl" w:cs="FrankRuehl"/>
          <w:sz w:val="28"/>
          <w:szCs w:val="28"/>
          <w:rtl/>
        </w:rPr>
        <w:t xml:space="preserve"> מנהלת מפקדת הפרקליט הצבאי הראשי </w:t>
      </w:r>
      <w:r w:rsidR="00785DE2" w:rsidRPr="001A0B66">
        <w:rPr>
          <w:rFonts w:ascii="FrankRuehl" w:hAnsi="FrankRuehl" w:cs="FrankRuehl"/>
          <w:sz w:val="28"/>
          <w:szCs w:val="28"/>
          <w:rtl/>
        </w:rPr>
        <w:t xml:space="preserve">הן </w:t>
      </w:r>
      <w:r w:rsidRPr="001A0B66">
        <w:rPr>
          <w:rFonts w:ascii="FrankRuehl" w:hAnsi="FrankRuehl" w:cs="FrankRuehl"/>
          <w:sz w:val="28"/>
          <w:szCs w:val="28"/>
          <w:rtl/>
        </w:rPr>
        <w:t>את התביעה ו</w:t>
      </w:r>
      <w:r w:rsidR="00785DE2" w:rsidRPr="001A0B66">
        <w:rPr>
          <w:rFonts w:ascii="FrankRuehl" w:hAnsi="FrankRuehl" w:cs="FrankRuehl"/>
          <w:sz w:val="28"/>
          <w:szCs w:val="28"/>
          <w:rtl/>
        </w:rPr>
        <w:t xml:space="preserve">הן </w:t>
      </w:r>
      <w:r w:rsidR="001B2775" w:rsidRPr="001A0B66">
        <w:rPr>
          <w:rFonts w:ascii="FrankRuehl" w:hAnsi="FrankRuehl" w:cs="FrankRuehl"/>
          <w:sz w:val="28"/>
          <w:szCs w:val="28"/>
          <w:rtl/>
        </w:rPr>
        <w:t xml:space="preserve">את </w:t>
      </w:r>
      <w:r w:rsidRPr="001A0B66">
        <w:rPr>
          <w:rFonts w:ascii="FrankRuehl" w:hAnsi="FrankRuehl" w:cs="FrankRuehl"/>
          <w:sz w:val="28"/>
          <w:szCs w:val="28"/>
          <w:rtl/>
        </w:rPr>
        <w:t>הסנגוריה הצבאית,</w:t>
      </w:r>
      <w:r w:rsidR="005B5678" w:rsidRPr="001A0B66">
        <w:rPr>
          <w:rFonts w:ascii="FrankRuehl" w:hAnsi="FrankRuehl" w:cs="FrankRuehl"/>
          <w:sz w:val="28"/>
          <w:szCs w:val="28"/>
          <w:rtl/>
        </w:rPr>
        <w:t xml:space="preserve"> </w:t>
      </w:r>
      <w:r w:rsidRPr="001A0B66">
        <w:rPr>
          <w:rFonts w:ascii="FrankRuehl" w:hAnsi="FrankRuehl" w:cs="FrankRuehl"/>
          <w:sz w:val="28"/>
          <w:szCs w:val="28"/>
          <w:rtl/>
        </w:rPr>
        <w:t>כך אין סיבה ש</w:t>
      </w:r>
      <w:r w:rsidR="00811F6F" w:rsidRPr="001A0B66">
        <w:rPr>
          <w:rFonts w:ascii="FrankRuehl" w:hAnsi="FrankRuehl" w:cs="FrankRuehl"/>
          <w:sz w:val="28"/>
          <w:szCs w:val="28"/>
          <w:rtl/>
        </w:rPr>
        <w:t>מ</w:t>
      </w:r>
      <w:r w:rsidRPr="001A0B66">
        <w:rPr>
          <w:rFonts w:ascii="FrankRuehl" w:hAnsi="FrankRuehl" w:cs="FrankRuehl"/>
          <w:sz w:val="28"/>
          <w:szCs w:val="28"/>
          <w:rtl/>
        </w:rPr>
        <w:t>פקדת הפרקליט הצבאי הראשי, שאליה כפופות גם התביעה הצבאית וגם הסנגוריה הצבאית, לא תישא באחריות הכפולה</w:t>
      </w:r>
      <w:r w:rsidR="009F7AF2" w:rsidRPr="001A0B66">
        <w:rPr>
          <w:rFonts w:ascii="FrankRuehl" w:hAnsi="FrankRuehl" w:cs="FrankRuehl"/>
          <w:sz w:val="28"/>
          <w:szCs w:val="28"/>
          <w:rtl/>
        </w:rPr>
        <w:t xml:space="preserve"> ל</w:t>
      </w:r>
      <w:r w:rsidRPr="001A0B66">
        <w:rPr>
          <w:rFonts w:ascii="FrankRuehl" w:hAnsi="FrankRuehl" w:cs="FrankRuehl"/>
          <w:sz w:val="28"/>
          <w:szCs w:val="28"/>
          <w:rtl/>
        </w:rPr>
        <w:t>ניהול התביעה</w:t>
      </w:r>
      <w:r w:rsidR="00811F6F" w:rsidRPr="001A0B66">
        <w:rPr>
          <w:rFonts w:ascii="FrankRuehl" w:hAnsi="FrankRuehl" w:cs="FrankRuehl"/>
          <w:sz w:val="28"/>
          <w:szCs w:val="28"/>
          <w:rtl/>
        </w:rPr>
        <w:t xml:space="preserve"> בשטחים</w:t>
      </w:r>
      <w:r w:rsidRPr="001A0B66">
        <w:rPr>
          <w:rFonts w:ascii="FrankRuehl" w:hAnsi="FrankRuehl" w:cs="FrankRuehl"/>
          <w:sz w:val="28"/>
          <w:szCs w:val="28"/>
          <w:rtl/>
        </w:rPr>
        <w:t xml:space="preserve"> </w:t>
      </w:r>
      <w:r w:rsidR="0083066F" w:rsidRPr="001A0B66">
        <w:rPr>
          <w:rFonts w:ascii="FrankRuehl" w:hAnsi="FrankRuehl" w:cs="FrankRuehl"/>
          <w:sz w:val="28"/>
          <w:szCs w:val="28"/>
          <w:rtl/>
        </w:rPr>
        <w:t xml:space="preserve">לצד </w:t>
      </w:r>
      <w:r w:rsidR="009F7AF2" w:rsidRPr="001A0B66">
        <w:rPr>
          <w:rFonts w:ascii="FrankRuehl" w:hAnsi="FrankRuehl" w:cs="FrankRuehl"/>
          <w:sz w:val="28"/>
          <w:szCs w:val="28"/>
          <w:rtl/>
        </w:rPr>
        <w:t>מ</w:t>
      </w:r>
      <w:r w:rsidRPr="001A0B66">
        <w:rPr>
          <w:rFonts w:ascii="FrankRuehl" w:hAnsi="FrankRuehl" w:cs="FrankRuehl"/>
          <w:sz w:val="28"/>
          <w:szCs w:val="28"/>
          <w:rtl/>
        </w:rPr>
        <w:t>תן הגנה משפטית</w:t>
      </w:r>
      <w:r w:rsidR="009A6851" w:rsidRPr="001A0B66">
        <w:rPr>
          <w:rFonts w:ascii="FrankRuehl" w:hAnsi="FrankRuehl" w:cs="FrankRuehl"/>
          <w:sz w:val="28"/>
          <w:szCs w:val="28"/>
          <w:rtl/>
        </w:rPr>
        <w:t xml:space="preserve"> </w:t>
      </w:r>
      <w:r w:rsidR="00785DE2" w:rsidRPr="001A0B66">
        <w:rPr>
          <w:rFonts w:ascii="FrankRuehl" w:hAnsi="FrankRuehl" w:cs="FrankRuehl"/>
          <w:sz w:val="28"/>
          <w:szCs w:val="28"/>
          <w:rtl/>
        </w:rPr>
        <w:t xml:space="preserve">במצבים שבהם קמה </w:t>
      </w:r>
      <w:r w:rsidR="00811F6F" w:rsidRPr="001A0B66">
        <w:rPr>
          <w:rFonts w:ascii="FrankRuehl" w:hAnsi="FrankRuehl" w:cs="FrankRuehl"/>
          <w:sz w:val="28"/>
          <w:szCs w:val="28"/>
          <w:rtl/>
        </w:rPr>
        <w:t xml:space="preserve">שם </w:t>
      </w:r>
      <w:r w:rsidR="00785DE2" w:rsidRPr="001A0B66">
        <w:rPr>
          <w:rFonts w:ascii="FrankRuehl" w:hAnsi="FrankRuehl" w:cs="FrankRuehl"/>
          <w:sz w:val="28"/>
          <w:szCs w:val="28"/>
          <w:rtl/>
        </w:rPr>
        <w:t>זכות לעורך דין מיוחד</w:t>
      </w:r>
      <w:r w:rsidRPr="001A0B66">
        <w:rPr>
          <w:rFonts w:ascii="FrankRuehl" w:hAnsi="FrankRuehl" w:cs="FrankRuehl"/>
          <w:sz w:val="28"/>
          <w:szCs w:val="28"/>
          <w:rtl/>
        </w:rPr>
        <w:t>.</w:t>
      </w:r>
    </w:p>
    <w:p w14:paraId="2008344E" w14:textId="77777777" w:rsidR="001021B8" w:rsidRPr="001A0B66" w:rsidRDefault="00785DE2" w:rsidP="00F307FB">
      <w:pPr>
        <w:pStyle w:val="a1"/>
        <w:numPr>
          <w:ilvl w:val="0"/>
          <w:numId w:val="43"/>
        </w:numPr>
        <w:spacing w:line="276" w:lineRule="auto"/>
        <w:rPr>
          <w:rFonts w:ascii="FrankRuehl" w:hAnsi="FrankRuehl" w:cs="FrankRuehl"/>
          <w:sz w:val="28"/>
          <w:szCs w:val="28"/>
          <w:rtl/>
        </w:rPr>
      </w:pPr>
      <w:r w:rsidRPr="001A0B66">
        <w:rPr>
          <w:rFonts w:ascii="FrankRuehl" w:hAnsi="FrankRuehl" w:cs="FrankRuehl"/>
          <w:sz w:val="28"/>
          <w:szCs w:val="28"/>
          <w:rtl/>
        </w:rPr>
        <w:t>ה</w:t>
      </w:r>
      <w:r w:rsidR="001021B8" w:rsidRPr="001A0B66">
        <w:rPr>
          <w:rFonts w:ascii="FrankRuehl" w:hAnsi="FrankRuehl" w:cs="FrankRuehl"/>
          <w:sz w:val="28"/>
          <w:szCs w:val="28"/>
          <w:rtl/>
        </w:rPr>
        <w:t xml:space="preserve">עצורים </w:t>
      </w:r>
      <w:r w:rsidRPr="001A0B66">
        <w:rPr>
          <w:rFonts w:ascii="FrankRuehl" w:hAnsi="FrankRuehl" w:cs="FrankRuehl"/>
          <w:sz w:val="28"/>
          <w:szCs w:val="28"/>
          <w:rtl/>
        </w:rPr>
        <w:t xml:space="preserve">הפלסטינים </w:t>
      </w:r>
      <w:r w:rsidR="001021B8" w:rsidRPr="001A0B66">
        <w:rPr>
          <w:rFonts w:ascii="FrankRuehl" w:hAnsi="FrankRuehl" w:cs="FrankRuehl"/>
          <w:sz w:val="28"/>
          <w:szCs w:val="28"/>
          <w:rtl/>
        </w:rPr>
        <w:t>אינם חייבים להיות מיוצגים על ידי עורך דין מיוחד צבאי</w:t>
      </w:r>
      <w:r w:rsidR="0083066F" w:rsidRPr="001A0B66">
        <w:rPr>
          <w:rFonts w:ascii="FrankRuehl" w:hAnsi="FrankRuehl" w:cs="FrankRuehl"/>
          <w:sz w:val="28"/>
          <w:szCs w:val="28"/>
          <w:rtl/>
        </w:rPr>
        <w:t>;</w:t>
      </w:r>
      <w:r w:rsidR="001021B8" w:rsidRPr="001A0B66">
        <w:rPr>
          <w:rFonts w:ascii="FrankRuehl" w:hAnsi="FrankRuehl" w:cs="FrankRuehl"/>
          <w:sz w:val="28"/>
          <w:szCs w:val="28"/>
          <w:rtl/>
        </w:rPr>
        <w:t xml:space="preserve"> </w:t>
      </w:r>
      <w:r w:rsidR="00811F6F" w:rsidRPr="001A0B66">
        <w:rPr>
          <w:rFonts w:ascii="FrankRuehl" w:hAnsi="FrankRuehl" w:cs="FrankRuehl"/>
          <w:sz w:val="28"/>
          <w:szCs w:val="28"/>
          <w:rtl/>
        </w:rPr>
        <w:t xml:space="preserve">הם </w:t>
      </w:r>
      <w:r w:rsidR="001021B8" w:rsidRPr="001A0B66">
        <w:rPr>
          <w:rFonts w:ascii="FrankRuehl" w:hAnsi="FrankRuehl" w:cs="FrankRuehl"/>
          <w:sz w:val="28"/>
          <w:szCs w:val="28"/>
          <w:rtl/>
        </w:rPr>
        <w:t>יכ</w:t>
      </w:r>
      <w:r w:rsidR="00AD3675" w:rsidRPr="001A0B66">
        <w:rPr>
          <w:rFonts w:ascii="FrankRuehl" w:hAnsi="FrankRuehl" w:cs="FrankRuehl"/>
          <w:sz w:val="28"/>
          <w:szCs w:val="28"/>
          <w:rtl/>
        </w:rPr>
        <w:t>ו</w:t>
      </w:r>
      <w:r w:rsidR="001021B8" w:rsidRPr="001A0B66">
        <w:rPr>
          <w:rFonts w:ascii="FrankRuehl" w:hAnsi="FrankRuehl" w:cs="FrankRuehl"/>
          <w:sz w:val="28"/>
          <w:szCs w:val="28"/>
          <w:rtl/>
        </w:rPr>
        <w:t>ל</w:t>
      </w:r>
      <w:r w:rsidR="00AD3675" w:rsidRPr="001A0B66">
        <w:rPr>
          <w:rFonts w:ascii="FrankRuehl" w:hAnsi="FrankRuehl" w:cs="FrankRuehl"/>
          <w:sz w:val="28"/>
          <w:szCs w:val="28"/>
          <w:rtl/>
        </w:rPr>
        <w:t>ים</w:t>
      </w:r>
      <w:r w:rsidR="001021B8" w:rsidRPr="001A0B66">
        <w:rPr>
          <w:rFonts w:ascii="FrankRuehl" w:hAnsi="FrankRuehl" w:cs="FrankRuehl"/>
          <w:sz w:val="28"/>
          <w:szCs w:val="28"/>
          <w:rtl/>
        </w:rPr>
        <w:t xml:space="preserve"> לבחור בעורך דין מיוחד פרטי</w:t>
      </w:r>
      <w:r w:rsidR="00811F6F" w:rsidRPr="001A0B66">
        <w:rPr>
          <w:rFonts w:ascii="FrankRuehl" w:hAnsi="FrankRuehl" w:cs="FrankRuehl"/>
          <w:sz w:val="28"/>
          <w:szCs w:val="28"/>
          <w:rtl/>
        </w:rPr>
        <w:t xml:space="preserve"> מ</w:t>
      </w:r>
      <w:r w:rsidR="0083066F" w:rsidRPr="001A0B66">
        <w:rPr>
          <w:rFonts w:ascii="FrankRuehl" w:hAnsi="FrankRuehl" w:cs="FrankRuehl"/>
          <w:sz w:val="28"/>
          <w:szCs w:val="28"/>
          <w:rtl/>
        </w:rPr>
        <w:t xml:space="preserve">תוך </w:t>
      </w:r>
      <w:r w:rsidR="00811F6F" w:rsidRPr="001A0B66">
        <w:rPr>
          <w:rFonts w:ascii="FrankRuehl" w:hAnsi="FrankRuehl" w:cs="FrankRuehl"/>
          <w:sz w:val="28"/>
          <w:szCs w:val="28"/>
          <w:rtl/>
        </w:rPr>
        <w:t>הרשימה שא</w:t>
      </w:r>
      <w:r w:rsidR="0083066F" w:rsidRPr="001A0B66">
        <w:rPr>
          <w:rFonts w:ascii="FrankRuehl" w:hAnsi="FrankRuehl" w:cs="FrankRuehl"/>
          <w:sz w:val="28"/>
          <w:szCs w:val="28"/>
          <w:rtl/>
        </w:rPr>
        <w:t>י</w:t>
      </w:r>
      <w:r w:rsidR="00811F6F" w:rsidRPr="001A0B66">
        <w:rPr>
          <w:rFonts w:ascii="FrankRuehl" w:hAnsi="FrankRuehl" w:cs="FrankRuehl"/>
          <w:sz w:val="28"/>
          <w:szCs w:val="28"/>
          <w:rtl/>
        </w:rPr>
        <w:t>שר הסנגור האזרחי הארצי</w:t>
      </w:r>
      <w:r w:rsidR="001021B8" w:rsidRPr="001A0B66">
        <w:rPr>
          <w:rFonts w:ascii="FrankRuehl" w:hAnsi="FrankRuehl" w:cs="FrankRuehl"/>
          <w:sz w:val="28"/>
          <w:szCs w:val="28"/>
          <w:rtl/>
        </w:rPr>
        <w:t xml:space="preserve">. </w:t>
      </w:r>
    </w:p>
    <w:p w14:paraId="75CB573E" w14:textId="77777777" w:rsidR="003B33EC" w:rsidRPr="001A0B66" w:rsidRDefault="00DF164F" w:rsidP="00F307FB">
      <w:pPr>
        <w:pStyle w:val="a1"/>
        <w:numPr>
          <w:ilvl w:val="0"/>
          <w:numId w:val="43"/>
        </w:numPr>
        <w:spacing w:line="276" w:lineRule="auto"/>
        <w:rPr>
          <w:rFonts w:ascii="FrankRuehl" w:hAnsi="FrankRuehl" w:cs="FrankRuehl"/>
          <w:sz w:val="28"/>
          <w:szCs w:val="28"/>
          <w:rtl/>
        </w:rPr>
      </w:pPr>
      <w:r w:rsidRPr="001A0B66">
        <w:rPr>
          <w:rFonts w:ascii="FrankRuehl" w:hAnsi="FrankRuehl" w:cs="FrankRuehl"/>
          <w:sz w:val="28"/>
          <w:szCs w:val="28"/>
          <w:rtl/>
        </w:rPr>
        <w:t>על סמך נ</w:t>
      </w:r>
      <w:r w:rsidR="00785DE2" w:rsidRPr="001A0B66">
        <w:rPr>
          <w:rFonts w:ascii="FrankRuehl" w:hAnsi="FrankRuehl" w:cs="FrankRuehl"/>
          <w:sz w:val="28"/>
          <w:szCs w:val="28"/>
          <w:rtl/>
        </w:rPr>
        <w:t>י</w:t>
      </w:r>
      <w:r w:rsidRPr="001A0B66">
        <w:rPr>
          <w:rFonts w:ascii="FrankRuehl" w:hAnsi="FrankRuehl" w:cs="FrankRuehl"/>
          <w:sz w:val="28"/>
          <w:szCs w:val="28"/>
          <w:rtl/>
        </w:rPr>
        <w:t>סיון העבר</w:t>
      </w:r>
      <w:r w:rsidR="00785DE2" w:rsidRPr="001A0B66">
        <w:rPr>
          <w:rFonts w:ascii="FrankRuehl" w:hAnsi="FrankRuehl" w:cs="FrankRuehl"/>
          <w:sz w:val="28"/>
          <w:szCs w:val="28"/>
          <w:rtl/>
        </w:rPr>
        <w:t>,</w:t>
      </w:r>
      <w:r w:rsidRPr="001A0B66">
        <w:rPr>
          <w:rFonts w:ascii="FrankRuehl" w:hAnsi="FrankRuehl" w:cs="FrankRuehl"/>
          <w:sz w:val="28"/>
          <w:szCs w:val="28"/>
          <w:rtl/>
        </w:rPr>
        <w:t xml:space="preserve"> </w:t>
      </w:r>
      <w:r w:rsidR="001A0066" w:rsidRPr="001A0B66">
        <w:rPr>
          <w:rFonts w:ascii="FrankRuehl" w:hAnsi="FrankRuehl" w:cs="FrankRuehl"/>
          <w:sz w:val="28"/>
          <w:szCs w:val="28"/>
          <w:rtl/>
        </w:rPr>
        <w:t xml:space="preserve">אנו </w:t>
      </w:r>
      <w:r w:rsidR="0083066F" w:rsidRPr="001A0B66">
        <w:rPr>
          <w:rFonts w:ascii="FrankRuehl" w:hAnsi="FrankRuehl" w:cs="FrankRuehl"/>
          <w:sz w:val="28"/>
          <w:szCs w:val="28"/>
          <w:rtl/>
        </w:rPr>
        <w:t xml:space="preserve">סבורים כי </w:t>
      </w:r>
      <w:r w:rsidR="001021B8" w:rsidRPr="001A0B66">
        <w:rPr>
          <w:rFonts w:ascii="FrankRuehl" w:hAnsi="FrankRuehl" w:cs="FrankRuehl"/>
          <w:sz w:val="28"/>
          <w:szCs w:val="28"/>
          <w:rtl/>
        </w:rPr>
        <w:t xml:space="preserve">בניית אמון </w:t>
      </w:r>
      <w:r w:rsidR="0083066F" w:rsidRPr="001A0B66">
        <w:rPr>
          <w:rFonts w:ascii="FrankRuehl" w:hAnsi="FrankRuehl" w:cs="FrankRuehl"/>
          <w:sz w:val="28"/>
          <w:szCs w:val="28"/>
          <w:rtl/>
        </w:rPr>
        <w:t>המושתת על</w:t>
      </w:r>
      <w:r w:rsidR="001021B8" w:rsidRPr="001A0B66">
        <w:rPr>
          <w:rFonts w:ascii="FrankRuehl" w:hAnsi="FrankRuehl" w:cs="FrankRuehl"/>
          <w:sz w:val="28"/>
          <w:szCs w:val="28"/>
          <w:rtl/>
        </w:rPr>
        <w:t xml:space="preserve"> שירות מקצועי</w:t>
      </w:r>
      <w:r w:rsidR="00833E6D" w:rsidRPr="001A0B66">
        <w:rPr>
          <w:rFonts w:ascii="FrankRuehl" w:hAnsi="FrankRuehl" w:cs="FrankRuehl"/>
          <w:sz w:val="28"/>
          <w:szCs w:val="28"/>
          <w:rtl/>
        </w:rPr>
        <w:t xml:space="preserve"> </w:t>
      </w:r>
      <w:r w:rsidR="00724E99" w:rsidRPr="001A0B66">
        <w:rPr>
          <w:rFonts w:ascii="FrankRuehl" w:hAnsi="FrankRuehl" w:cs="FrankRuehl"/>
          <w:sz w:val="28"/>
          <w:szCs w:val="28"/>
          <w:rtl/>
        </w:rPr>
        <w:t>בין</w:t>
      </w:r>
      <w:r w:rsidR="003B33EC" w:rsidRPr="001A0B66">
        <w:rPr>
          <w:rFonts w:ascii="FrankRuehl" w:hAnsi="FrankRuehl" w:cs="FrankRuehl"/>
          <w:sz w:val="28"/>
          <w:szCs w:val="28"/>
          <w:rtl/>
        </w:rPr>
        <w:t xml:space="preserve"> עצורים מנהליים </w:t>
      </w:r>
      <w:r w:rsidR="0083066F" w:rsidRPr="001A0B66">
        <w:rPr>
          <w:rFonts w:ascii="FrankRuehl" w:hAnsi="FrankRuehl" w:cs="FrankRuehl"/>
          <w:sz w:val="28"/>
          <w:szCs w:val="28"/>
          <w:rtl/>
        </w:rPr>
        <w:t>(</w:t>
      </w:r>
      <w:r w:rsidR="003B33EC" w:rsidRPr="001A0B66">
        <w:rPr>
          <w:rFonts w:ascii="FrankRuehl" w:hAnsi="FrankRuehl" w:cs="FrankRuehl"/>
          <w:sz w:val="28"/>
          <w:szCs w:val="28"/>
          <w:rtl/>
        </w:rPr>
        <w:t>יהודים ופלסטינים כאחד</w:t>
      </w:r>
      <w:r w:rsidR="0083066F" w:rsidRPr="001A0B66">
        <w:rPr>
          <w:rFonts w:ascii="FrankRuehl" w:hAnsi="FrankRuehl" w:cs="FrankRuehl"/>
          <w:sz w:val="28"/>
          <w:szCs w:val="28"/>
          <w:rtl/>
        </w:rPr>
        <w:t>)</w:t>
      </w:r>
      <w:r w:rsidR="003B33EC" w:rsidRPr="001A0B66">
        <w:rPr>
          <w:rFonts w:ascii="FrankRuehl" w:hAnsi="FrankRuehl" w:cs="FrankRuehl"/>
          <w:sz w:val="28"/>
          <w:szCs w:val="28"/>
          <w:rtl/>
        </w:rPr>
        <w:t xml:space="preserve"> </w:t>
      </w:r>
      <w:r w:rsidR="00724E99" w:rsidRPr="001A0B66">
        <w:rPr>
          <w:rFonts w:ascii="FrankRuehl" w:hAnsi="FrankRuehl" w:cs="FrankRuehl"/>
          <w:sz w:val="28"/>
          <w:szCs w:val="28"/>
          <w:rtl/>
        </w:rPr>
        <w:t>ל</w:t>
      </w:r>
      <w:r w:rsidR="003B33EC" w:rsidRPr="001A0B66">
        <w:rPr>
          <w:rFonts w:ascii="FrankRuehl" w:hAnsi="FrankRuehl" w:cs="FrankRuehl"/>
          <w:sz w:val="28"/>
          <w:szCs w:val="28"/>
          <w:rtl/>
        </w:rPr>
        <w:t>סנגור</w:t>
      </w:r>
      <w:r w:rsidR="00724E99" w:rsidRPr="001A0B66">
        <w:rPr>
          <w:rFonts w:ascii="FrankRuehl" w:hAnsi="FrankRuehl" w:cs="FrankRuehl"/>
          <w:sz w:val="28"/>
          <w:szCs w:val="28"/>
          <w:rtl/>
        </w:rPr>
        <w:t>ים</w:t>
      </w:r>
      <w:r w:rsidR="003B33EC" w:rsidRPr="001A0B66">
        <w:rPr>
          <w:rFonts w:ascii="FrankRuehl" w:hAnsi="FrankRuehl" w:cs="FrankRuehl"/>
          <w:sz w:val="28"/>
          <w:szCs w:val="28"/>
          <w:rtl/>
        </w:rPr>
        <w:t xml:space="preserve"> צבאי</w:t>
      </w:r>
      <w:r w:rsidR="00724E99" w:rsidRPr="001A0B66">
        <w:rPr>
          <w:rFonts w:ascii="FrankRuehl" w:hAnsi="FrankRuehl" w:cs="FrankRuehl"/>
          <w:sz w:val="28"/>
          <w:szCs w:val="28"/>
          <w:rtl/>
        </w:rPr>
        <w:t>ים</w:t>
      </w:r>
      <w:r w:rsidR="003B33EC" w:rsidRPr="001A0B66">
        <w:rPr>
          <w:rFonts w:ascii="FrankRuehl" w:hAnsi="FrankRuehl" w:cs="FrankRuehl"/>
          <w:sz w:val="28"/>
          <w:szCs w:val="28"/>
          <w:rtl/>
        </w:rPr>
        <w:t xml:space="preserve"> </w:t>
      </w:r>
      <w:r w:rsidR="00BC5C64" w:rsidRPr="001A0B66">
        <w:rPr>
          <w:rFonts w:ascii="FrankRuehl" w:hAnsi="FrankRuehl" w:cs="FrankRuehl"/>
          <w:sz w:val="28"/>
          <w:szCs w:val="28"/>
          <w:rtl/>
        </w:rPr>
        <w:t xml:space="preserve">לא </w:t>
      </w:r>
      <w:r w:rsidR="0083066F" w:rsidRPr="001A0B66">
        <w:rPr>
          <w:rFonts w:ascii="FrankRuehl" w:hAnsi="FrankRuehl" w:cs="FrankRuehl"/>
          <w:sz w:val="28"/>
          <w:szCs w:val="28"/>
          <w:rtl/>
        </w:rPr>
        <w:t xml:space="preserve">תהיה </w:t>
      </w:r>
      <w:r w:rsidR="00BC5C64" w:rsidRPr="001A0B66">
        <w:rPr>
          <w:rFonts w:ascii="FrankRuehl" w:hAnsi="FrankRuehl" w:cs="FrankRuehl"/>
          <w:sz w:val="28"/>
          <w:szCs w:val="28"/>
          <w:rtl/>
        </w:rPr>
        <w:t>פשוט</w:t>
      </w:r>
      <w:r w:rsidR="0083066F" w:rsidRPr="001A0B66">
        <w:rPr>
          <w:rFonts w:ascii="FrankRuehl" w:hAnsi="FrankRuehl" w:cs="FrankRuehl"/>
          <w:sz w:val="28"/>
          <w:szCs w:val="28"/>
          <w:rtl/>
        </w:rPr>
        <w:t>ה</w:t>
      </w:r>
      <w:r w:rsidR="003B33EC" w:rsidRPr="001A0B66">
        <w:rPr>
          <w:rFonts w:ascii="FrankRuehl" w:hAnsi="FrankRuehl" w:cs="FrankRuehl"/>
          <w:sz w:val="28"/>
          <w:szCs w:val="28"/>
          <w:rtl/>
        </w:rPr>
        <w:t xml:space="preserve">, </w:t>
      </w:r>
      <w:r w:rsidRPr="001A0B66">
        <w:rPr>
          <w:rFonts w:ascii="FrankRuehl" w:hAnsi="FrankRuehl" w:cs="FrankRuehl"/>
          <w:sz w:val="28"/>
          <w:szCs w:val="28"/>
          <w:rtl/>
        </w:rPr>
        <w:t xml:space="preserve">אך </w:t>
      </w:r>
      <w:r w:rsidR="0083066F" w:rsidRPr="001A0B66">
        <w:rPr>
          <w:rFonts w:ascii="FrankRuehl" w:hAnsi="FrankRuehl" w:cs="FrankRuehl"/>
          <w:sz w:val="28"/>
          <w:szCs w:val="28"/>
          <w:rtl/>
        </w:rPr>
        <w:t xml:space="preserve">היא </w:t>
      </w:r>
      <w:r w:rsidRPr="001A0B66">
        <w:rPr>
          <w:rFonts w:ascii="FrankRuehl" w:hAnsi="FrankRuehl" w:cs="FrankRuehl"/>
          <w:sz w:val="28"/>
          <w:szCs w:val="28"/>
          <w:rtl/>
        </w:rPr>
        <w:t>אפשרי</w:t>
      </w:r>
      <w:r w:rsidR="0083066F" w:rsidRPr="001A0B66">
        <w:rPr>
          <w:rFonts w:ascii="FrankRuehl" w:hAnsi="FrankRuehl" w:cs="FrankRuehl"/>
          <w:sz w:val="28"/>
          <w:szCs w:val="28"/>
          <w:rtl/>
        </w:rPr>
        <w:t>ת</w:t>
      </w:r>
      <w:r w:rsidRPr="001A0B66">
        <w:rPr>
          <w:rFonts w:ascii="FrankRuehl" w:hAnsi="FrankRuehl" w:cs="FrankRuehl"/>
          <w:sz w:val="28"/>
          <w:szCs w:val="28"/>
          <w:rtl/>
        </w:rPr>
        <w:t>;</w:t>
      </w:r>
      <w:r w:rsidR="00D101E5" w:rsidRPr="001A0B66">
        <w:rPr>
          <w:rStyle w:val="FootnoteReference"/>
          <w:rFonts w:ascii="FrankRuehl" w:hAnsi="FrankRuehl" w:cs="FrankRuehl"/>
          <w:sz w:val="28"/>
          <w:szCs w:val="28"/>
          <w:rtl/>
        </w:rPr>
        <w:footnoteReference w:id="141"/>
      </w:r>
      <w:r w:rsidR="00D101E5" w:rsidRPr="001A0B66">
        <w:rPr>
          <w:rFonts w:ascii="FrankRuehl" w:hAnsi="FrankRuehl" w:cs="FrankRuehl"/>
          <w:sz w:val="28"/>
          <w:szCs w:val="28"/>
          <w:rtl/>
        </w:rPr>
        <w:t xml:space="preserve"> </w:t>
      </w:r>
      <w:r w:rsidR="00B047BB" w:rsidRPr="001A0B66">
        <w:rPr>
          <w:rFonts w:ascii="FrankRuehl" w:hAnsi="FrankRuehl" w:cs="FrankRuehl"/>
          <w:sz w:val="28"/>
          <w:szCs w:val="28"/>
          <w:rtl/>
        </w:rPr>
        <w:t xml:space="preserve">גם </w:t>
      </w:r>
      <w:proofErr w:type="spellStart"/>
      <w:r w:rsidR="00B047BB" w:rsidRPr="001A0B66">
        <w:rPr>
          <w:rFonts w:ascii="FrankRuehl" w:hAnsi="FrankRuehl" w:cs="FrankRuehl"/>
          <w:sz w:val="28"/>
          <w:szCs w:val="28"/>
          <w:rtl/>
        </w:rPr>
        <w:t>בנישו</w:t>
      </w:r>
      <w:proofErr w:type="spellEnd"/>
      <w:r w:rsidR="00B047BB" w:rsidRPr="001A0B66">
        <w:rPr>
          <w:rFonts w:ascii="FrankRuehl" w:hAnsi="FrankRuehl" w:cs="FrankRuehl"/>
          <w:sz w:val="28"/>
          <w:szCs w:val="28"/>
          <w:rtl/>
        </w:rPr>
        <w:t xml:space="preserve"> </w:t>
      </w:r>
      <w:proofErr w:type="spellStart"/>
      <w:r w:rsidR="00B047BB" w:rsidRPr="001A0B66">
        <w:rPr>
          <w:rFonts w:ascii="FrankRuehl" w:hAnsi="FrankRuehl" w:cs="FrankRuehl"/>
          <w:sz w:val="28"/>
          <w:szCs w:val="28"/>
          <w:rtl/>
        </w:rPr>
        <w:t>וויגיסר</w:t>
      </w:r>
      <w:proofErr w:type="spellEnd"/>
      <w:r w:rsidR="00B047BB" w:rsidRPr="001A0B66">
        <w:rPr>
          <w:rFonts w:ascii="FrankRuehl" w:hAnsi="FrankRuehl" w:cs="FrankRuehl"/>
          <w:sz w:val="28"/>
          <w:szCs w:val="28"/>
          <w:rtl/>
        </w:rPr>
        <w:t xml:space="preserve"> סבורים כך</w:t>
      </w:r>
      <w:r w:rsidR="00724E99" w:rsidRPr="001A0B66">
        <w:rPr>
          <w:rFonts w:ascii="FrankRuehl" w:hAnsi="FrankRuehl" w:cs="FrankRuehl"/>
          <w:sz w:val="28"/>
          <w:szCs w:val="28"/>
          <w:rtl/>
        </w:rPr>
        <w:t>.</w:t>
      </w:r>
      <w:r w:rsidR="00B047BB" w:rsidRPr="001A0B66">
        <w:rPr>
          <w:rStyle w:val="FootnoteReference"/>
          <w:rFonts w:ascii="FrankRuehl" w:hAnsi="FrankRuehl" w:cs="FrankRuehl"/>
          <w:sz w:val="28"/>
          <w:szCs w:val="28"/>
          <w:rtl/>
        </w:rPr>
        <w:footnoteReference w:id="142"/>
      </w:r>
      <w:r w:rsidR="003B33EC" w:rsidRPr="001A0B66">
        <w:rPr>
          <w:rFonts w:ascii="FrankRuehl" w:hAnsi="FrankRuehl" w:cs="FrankRuehl"/>
          <w:sz w:val="28"/>
          <w:szCs w:val="28"/>
          <w:rtl/>
        </w:rPr>
        <w:t xml:space="preserve"> </w:t>
      </w:r>
      <w:r w:rsidR="00133240" w:rsidRPr="001A0B66">
        <w:rPr>
          <w:rFonts w:ascii="FrankRuehl" w:hAnsi="FrankRuehl" w:cs="FrankRuehl"/>
          <w:sz w:val="28"/>
          <w:szCs w:val="28"/>
          <w:rtl/>
        </w:rPr>
        <w:t xml:space="preserve">מן ווינר מתארים כיצד עורכי דין ציבוריים ישראלים, יהודיות </w:t>
      </w:r>
      <w:r w:rsidR="00133240" w:rsidRPr="001A0B66">
        <w:rPr>
          <w:rFonts w:ascii="FrankRuehl" w:hAnsi="FrankRuehl" w:cs="FrankRuehl"/>
          <w:sz w:val="28"/>
          <w:szCs w:val="28"/>
          <w:rtl/>
        </w:rPr>
        <w:lastRenderedPageBreak/>
        <w:t>ופלסטינים, הצליחו ליצור "אי של יחסי אמון" ולהעניק ייצוג אפקטיבי לנאשמים בעבירות טרור מהשטחים הכבושים שהועמדו לדין בישראל.</w:t>
      </w:r>
      <w:r w:rsidR="001A0066" w:rsidRPr="001A0B66">
        <w:rPr>
          <w:rStyle w:val="FootnoteReference"/>
          <w:rFonts w:ascii="FrankRuehl" w:hAnsi="FrankRuehl" w:cs="FrankRuehl"/>
          <w:sz w:val="28"/>
          <w:szCs w:val="28"/>
          <w:rtl/>
        </w:rPr>
        <w:footnoteReference w:id="143"/>
      </w:r>
      <w:r w:rsidR="00133240" w:rsidRPr="001A0B66">
        <w:rPr>
          <w:rFonts w:ascii="FrankRuehl" w:hAnsi="FrankRuehl" w:cs="FrankRuehl"/>
          <w:sz w:val="28"/>
          <w:szCs w:val="28"/>
          <w:rtl/>
        </w:rPr>
        <w:t xml:space="preserve"> לדעתנו</w:t>
      </w:r>
      <w:r w:rsidR="00215B27" w:rsidRPr="001A0B66">
        <w:rPr>
          <w:rFonts w:ascii="FrankRuehl" w:hAnsi="FrankRuehl" w:cs="FrankRuehl"/>
          <w:sz w:val="28"/>
          <w:szCs w:val="28"/>
          <w:rtl/>
        </w:rPr>
        <w:t xml:space="preserve"> הדבר יכול לקרות גם עם עורכת דין</w:t>
      </w:r>
      <w:r w:rsidR="001A0066" w:rsidRPr="001A0B66">
        <w:rPr>
          <w:rFonts w:ascii="FrankRuehl" w:hAnsi="FrankRuehl" w:cs="FrankRuehl"/>
          <w:sz w:val="28"/>
          <w:szCs w:val="28"/>
          <w:rtl/>
        </w:rPr>
        <w:t xml:space="preserve"> </w:t>
      </w:r>
      <w:r w:rsidR="00215B27" w:rsidRPr="001A0B66">
        <w:rPr>
          <w:rFonts w:ascii="FrankRuehl" w:hAnsi="FrankRuehl" w:cs="FrankRuehl"/>
          <w:sz w:val="28"/>
          <w:szCs w:val="28"/>
          <w:rtl/>
        </w:rPr>
        <w:t>מיוחדת צבאית.</w:t>
      </w:r>
      <w:r w:rsidR="00133240" w:rsidRPr="001A0B66">
        <w:rPr>
          <w:rFonts w:ascii="FrankRuehl" w:hAnsi="FrankRuehl" w:cs="FrankRuehl"/>
          <w:sz w:val="28"/>
          <w:szCs w:val="28"/>
          <w:rtl/>
        </w:rPr>
        <w:t xml:space="preserve"> </w:t>
      </w:r>
      <w:r w:rsidRPr="001A0B66">
        <w:rPr>
          <w:rFonts w:ascii="FrankRuehl" w:hAnsi="FrankRuehl" w:cs="FrankRuehl"/>
          <w:sz w:val="28"/>
          <w:szCs w:val="28"/>
          <w:rtl/>
        </w:rPr>
        <w:t xml:space="preserve">מנקודת מבטו של </w:t>
      </w:r>
      <w:r w:rsidR="00785DE2" w:rsidRPr="001A0B66">
        <w:rPr>
          <w:rFonts w:ascii="FrankRuehl" w:hAnsi="FrankRuehl" w:cs="FrankRuehl"/>
          <w:sz w:val="28"/>
          <w:szCs w:val="28"/>
          <w:rtl/>
        </w:rPr>
        <w:t>עורך הדין המיוחד</w:t>
      </w:r>
      <w:r w:rsidRPr="001A0B66">
        <w:rPr>
          <w:rFonts w:ascii="FrankRuehl" w:hAnsi="FrankRuehl" w:cs="FrankRuehl"/>
          <w:sz w:val="28"/>
          <w:szCs w:val="28"/>
          <w:rtl/>
        </w:rPr>
        <w:t xml:space="preserve">, </w:t>
      </w:r>
      <w:r w:rsidR="003B33EC" w:rsidRPr="001A0B66">
        <w:rPr>
          <w:rFonts w:ascii="FrankRuehl" w:hAnsi="FrankRuehl" w:cs="FrankRuehl"/>
          <w:sz w:val="28"/>
          <w:szCs w:val="28"/>
          <w:rtl/>
        </w:rPr>
        <w:t xml:space="preserve">מנגנון הסנגוריה כשלעצמו אינו מחייב </w:t>
      </w:r>
      <w:r w:rsidR="0083066F" w:rsidRPr="001A0B66">
        <w:rPr>
          <w:rFonts w:ascii="FrankRuehl" w:hAnsi="FrankRuehl" w:cs="FrankRuehl"/>
          <w:sz w:val="28"/>
          <w:szCs w:val="28"/>
          <w:rtl/>
        </w:rPr>
        <w:t>ל</w:t>
      </w:r>
      <w:r w:rsidR="003B33EC" w:rsidRPr="001A0B66">
        <w:rPr>
          <w:rFonts w:ascii="FrankRuehl" w:hAnsi="FrankRuehl" w:cs="FrankRuehl"/>
          <w:sz w:val="28"/>
          <w:szCs w:val="28"/>
          <w:rtl/>
        </w:rPr>
        <w:t xml:space="preserve">הזדהות עם הלקוח אלא </w:t>
      </w:r>
      <w:r w:rsidR="0083066F" w:rsidRPr="001A0B66">
        <w:rPr>
          <w:rFonts w:ascii="FrankRuehl" w:hAnsi="FrankRuehl" w:cs="FrankRuehl"/>
          <w:sz w:val="28"/>
          <w:szCs w:val="28"/>
          <w:rtl/>
        </w:rPr>
        <w:t xml:space="preserve">להעניק לו </w:t>
      </w:r>
      <w:r w:rsidR="003B33EC" w:rsidRPr="001A0B66">
        <w:rPr>
          <w:rFonts w:ascii="FrankRuehl" w:hAnsi="FrankRuehl" w:cs="FrankRuehl"/>
          <w:sz w:val="28"/>
          <w:szCs w:val="28"/>
          <w:rtl/>
        </w:rPr>
        <w:t xml:space="preserve">הגנה משפטית, ולכן האתוס </w:t>
      </w:r>
      <w:proofErr w:type="spellStart"/>
      <w:r w:rsidR="003E2796" w:rsidRPr="001A0B66">
        <w:rPr>
          <w:rFonts w:ascii="FrankRuehl" w:hAnsi="FrankRuehl" w:cs="FrankRuehl"/>
          <w:sz w:val="28"/>
          <w:szCs w:val="28"/>
          <w:rtl/>
        </w:rPr>
        <w:t>וה"נומוס</w:t>
      </w:r>
      <w:proofErr w:type="spellEnd"/>
      <w:r w:rsidR="003E2796" w:rsidRPr="001A0B66">
        <w:rPr>
          <w:rFonts w:ascii="FrankRuehl" w:hAnsi="FrankRuehl" w:cs="FrankRuehl"/>
          <w:sz w:val="28"/>
          <w:szCs w:val="28"/>
          <w:rtl/>
        </w:rPr>
        <w:t xml:space="preserve">" </w:t>
      </w:r>
      <w:proofErr w:type="spellStart"/>
      <w:r w:rsidR="003B33EC" w:rsidRPr="001A0B66">
        <w:rPr>
          <w:rFonts w:ascii="FrankRuehl" w:hAnsi="FrankRuehl" w:cs="FrankRuehl"/>
          <w:sz w:val="28"/>
          <w:szCs w:val="28"/>
          <w:rtl/>
        </w:rPr>
        <w:t>הסנגוריאלי</w:t>
      </w:r>
      <w:proofErr w:type="spellEnd"/>
      <w:r w:rsidR="003B33EC" w:rsidRPr="001A0B66">
        <w:rPr>
          <w:rFonts w:ascii="FrankRuehl" w:hAnsi="FrankRuehl" w:cs="FrankRuehl"/>
          <w:sz w:val="28"/>
          <w:szCs w:val="28"/>
          <w:rtl/>
        </w:rPr>
        <w:t xml:space="preserve"> תומ</w:t>
      </w:r>
      <w:r w:rsidR="0083066F" w:rsidRPr="001A0B66">
        <w:rPr>
          <w:rFonts w:ascii="FrankRuehl" w:hAnsi="FrankRuehl" w:cs="FrankRuehl"/>
          <w:sz w:val="28"/>
          <w:szCs w:val="28"/>
          <w:rtl/>
        </w:rPr>
        <w:t>כים</w:t>
      </w:r>
      <w:r w:rsidR="003B33EC" w:rsidRPr="001A0B66">
        <w:rPr>
          <w:rFonts w:ascii="FrankRuehl" w:hAnsi="FrankRuehl" w:cs="FrankRuehl"/>
          <w:sz w:val="28"/>
          <w:szCs w:val="28"/>
          <w:rtl/>
        </w:rPr>
        <w:t xml:space="preserve"> בייצוג מסוג זה.</w:t>
      </w:r>
      <w:r w:rsidR="008817AB" w:rsidRPr="001A0B66">
        <w:rPr>
          <w:rStyle w:val="FootnoteReference"/>
          <w:rFonts w:ascii="FrankRuehl" w:hAnsi="FrankRuehl" w:cs="FrankRuehl"/>
          <w:sz w:val="28"/>
          <w:szCs w:val="28"/>
          <w:rtl/>
        </w:rPr>
        <w:footnoteReference w:id="144"/>
      </w:r>
      <w:r w:rsidR="003B33EC" w:rsidRPr="001A0B66">
        <w:rPr>
          <w:rFonts w:ascii="FrankRuehl" w:hAnsi="FrankRuehl" w:cs="FrankRuehl"/>
          <w:sz w:val="28"/>
          <w:szCs w:val="28"/>
          <w:rtl/>
        </w:rPr>
        <w:t xml:space="preserve"> </w:t>
      </w:r>
      <w:r w:rsidR="00724E99" w:rsidRPr="001A0B66">
        <w:rPr>
          <w:rFonts w:ascii="FrankRuehl" w:hAnsi="FrankRuehl" w:cs="FrankRuehl"/>
          <w:sz w:val="28"/>
          <w:szCs w:val="28"/>
          <w:rtl/>
        </w:rPr>
        <w:t xml:space="preserve">כמו </w:t>
      </w:r>
      <w:r w:rsidR="0012443E" w:rsidRPr="001A0B66">
        <w:rPr>
          <w:rFonts w:ascii="FrankRuehl" w:hAnsi="FrankRuehl" w:cs="FrankRuehl"/>
          <w:sz w:val="28"/>
          <w:szCs w:val="28"/>
          <w:rtl/>
        </w:rPr>
        <w:t>ה</w:t>
      </w:r>
      <w:r w:rsidR="00724E99" w:rsidRPr="001A0B66">
        <w:rPr>
          <w:rFonts w:ascii="FrankRuehl" w:hAnsi="FrankRuehl" w:cs="FrankRuehl"/>
          <w:sz w:val="28"/>
          <w:szCs w:val="28"/>
          <w:rtl/>
        </w:rPr>
        <w:t xml:space="preserve">סנגוריה הציבורית, גם </w:t>
      </w:r>
      <w:r w:rsidR="00840D5E" w:rsidRPr="001A0B66">
        <w:rPr>
          <w:rFonts w:ascii="FrankRuehl" w:hAnsi="FrankRuehl" w:cs="FrankRuehl"/>
          <w:sz w:val="28"/>
          <w:szCs w:val="28"/>
          <w:rtl/>
        </w:rPr>
        <w:t xml:space="preserve">הסנגוריה הצבאית גילתה עצמאות מרשימה ופעלה </w:t>
      </w:r>
      <w:r w:rsidR="0083066F" w:rsidRPr="001A0B66">
        <w:rPr>
          <w:rFonts w:ascii="FrankRuehl" w:hAnsi="FrankRuehl" w:cs="FrankRuehl"/>
          <w:sz w:val="28"/>
          <w:szCs w:val="28"/>
          <w:rtl/>
        </w:rPr>
        <w:t xml:space="preserve">למען לקוחותיה </w:t>
      </w:r>
      <w:r w:rsidR="00840D5E" w:rsidRPr="001A0B66">
        <w:rPr>
          <w:rFonts w:ascii="FrankRuehl" w:hAnsi="FrankRuehl" w:cs="FrankRuehl"/>
          <w:sz w:val="28"/>
          <w:szCs w:val="28"/>
          <w:rtl/>
        </w:rPr>
        <w:t>נגד התביעה הצבאית</w:t>
      </w:r>
      <w:r w:rsidR="00785DE2" w:rsidRPr="001A0B66">
        <w:rPr>
          <w:rFonts w:ascii="FrankRuehl" w:hAnsi="FrankRuehl" w:cs="FrankRuehl"/>
          <w:sz w:val="28"/>
          <w:szCs w:val="28"/>
          <w:rtl/>
        </w:rPr>
        <w:t xml:space="preserve"> </w:t>
      </w:r>
      <w:r w:rsidR="00840D5E" w:rsidRPr="001A0B66">
        <w:rPr>
          <w:rFonts w:ascii="FrankRuehl" w:hAnsi="FrankRuehl" w:cs="FrankRuehl"/>
          <w:sz w:val="28"/>
          <w:szCs w:val="28"/>
          <w:rtl/>
        </w:rPr>
        <w:t>בנושאים חשובים ושנויים במחלוקת.</w:t>
      </w:r>
      <w:r w:rsidR="000B54A4" w:rsidRPr="001A0B66">
        <w:rPr>
          <w:rStyle w:val="FootnoteReference"/>
          <w:rFonts w:ascii="FrankRuehl" w:hAnsi="FrankRuehl" w:cs="FrankRuehl"/>
          <w:sz w:val="28"/>
          <w:szCs w:val="28"/>
          <w:rtl/>
        </w:rPr>
        <w:footnoteReference w:id="145"/>
      </w:r>
      <w:r w:rsidR="00840D5E" w:rsidRPr="001A0B66">
        <w:rPr>
          <w:rFonts w:ascii="FrankRuehl" w:hAnsi="FrankRuehl" w:cs="FrankRuehl"/>
          <w:sz w:val="28"/>
          <w:szCs w:val="28"/>
          <w:rtl/>
        </w:rPr>
        <w:t xml:space="preserve"> </w:t>
      </w:r>
      <w:r w:rsidR="00C83614" w:rsidRPr="001A0B66">
        <w:rPr>
          <w:rFonts w:ascii="FrankRuehl" w:hAnsi="FrankRuehl" w:cs="FrankRuehl"/>
          <w:sz w:val="28"/>
          <w:szCs w:val="28"/>
          <w:rtl/>
        </w:rPr>
        <w:t>לאורך ההיסטוריה</w:t>
      </w:r>
      <w:r w:rsidR="0083066F" w:rsidRPr="001A0B66">
        <w:rPr>
          <w:rFonts w:ascii="FrankRuehl" w:hAnsi="FrankRuehl" w:cs="FrankRuehl"/>
          <w:sz w:val="28"/>
          <w:szCs w:val="28"/>
          <w:rtl/>
        </w:rPr>
        <w:t xml:space="preserve"> מילאו</w:t>
      </w:r>
      <w:r w:rsidR="00C83614" w:rsidRPr="001A0B66">
        <w:rPr>
          <w:rFonts w:ascii="FrankRuehl" w:hAnsi="FrankRuehl" w:cs="FrankRuehl"/>
          <w:sz w:val="28"/>
          <w:szCs w:val="28"/>
          <w:rtl/>
        </w:rPr>
        <w:t xml:space="preserve"> סנגורים צבאיים תפקיד של הגנה על נאשמים בפגיעה בביטחון המדינה.</w:t>
      </w:r>
      <w:r w:rsidR="00C83614" w:rsidRPr="001A0B66">
        <w:rPr>
          <w:rStyle w:val="FootnoteReference"/>
          <w:rFonts w:ascii="FrankRuehl" w:hAnsi="FrankRuehl" w:cs="FrankRuehl"/>
          <w:sz w:val="28"/>
          <w:szCs w:val="28"/>
          <w:rtl/>
        </w:rPr>
        <w:footnoteReference w:id="146"/>
      </w:r>
      <w:r w:rsidR="00C83614" w:rsidRPr="001A0B66">
        <w:rPr>
          <w:rFonts w:ascii="FrankRuehl" w:hAnsi="FrankRuehl" w:cs="FrankRuehl"/>
          <w:sz w:val="28"/>
          <w:szCs w:val="28"/>
          <w:rtl/>
        </w:rPr>
        <w:t xml:space="preserve"> </w:t>
      </w:r>
      <w:r w:rsidR="003B33EC" w:rsidRPr="001A0B66">
        <w:rPr>
          <w:rFonts w:ascii="FrankRuehl" w:hAnsi="FrankRuehl" w:cs="FrankRuehl"/>
          <w:sz w:val="28"/>
          <w:szCs w:val="28"/>
          <w:rtl/>
        </w:rPr>
        <w:t xml:space="preserve">דוגמה מאלפת </w:t>
      </w:r>
      <w:r w:rsidR="00215B27" w:rsidRPr="001A0B66">
        <w:rPr>
          <w:rFonts w:ascii="FrankRuehl" w:hAnsi="FrankRuehl" w:cs="FrankRuehl"/>
          <w:sz w:val="28"/>
          <w:szCs w:val="28"/>
          <w:rtl/>
        </w:rPr>
        <w:t xml:space="preserve">לכך </w:t>
      </w:r>
      <w:r w:rsidR="0083066F" w:rsidRPr="001A0B66">
        <w:rPr>
          <w:rFonts w:ascii="FrankRuehl" w:hAnsi="FrankRuehl" w:cs="FrankRuehl"/>
          <w:sz w:val="28"/>
          <w:szCs w:val="28"/>
          <w:rtl/>
        </w:rPr>
        <w:t>היא</w:t>
      </w:r>
      <w:r w:rsidR="003B33EC" w:rsidRPr="001A0B66">
        <w:rPr>
          <w:rFonts w:ascii="FrankRuehl" w:hAnsi="FrankRuehl" w:cs="FrankRuehl"/>
          <w:sz w:val="28"/>
          <w:szCs w:val="28"/>
          <w:rtl/>
        </w:rPr>
        <w:t xml:space="preserve"> ההליכים בפני הוועדות הצבאיות האמריקאיות במחנה</w:t>
      </w:r>
      <w:r w:rsidR="00871181" w:rsidRPr="001A0B66">
        <w:rPr>
          <w:rFonts w:ascii="FrankRuehl" w:hAnsi="FrankRuehl" w:cs="FrankRuehl"/>
          <w:sz w:val="28"/>
          <w:szCs w:val="28"/>
          <w:rtl/>
        </w:rPr>
        <w:t xml:space="preserve"> המעצר</w:t>
      </w:r>
      <w:r w:rsidR="003B33EC" w:rsidRPr="001A0B66">
        <w:rPr>
          <w:rFonts w:ascii="FrankRuehl" w:hAnsi="FrankRuehl" w:cs="FrankRuehl"/>
          <w:sz w:val="28"/>
          <w:szCs w:val="28"/>
          <w:rtl/>
        </w:rPr>
        <w:t xml:space="preserve"> גואנטנמו</w:t>
      </w:r>
      <w:r w:rsidR="00840D5E" w:rsidRPr="001A0B66">
        <w:rPr>
          <w:rFonts w:ascii="FrankRuehl" w:hAnsi="FrankRuehl" w:cs="FrankRuehl"/>
          <w:sz w:val="28"/>
          <w:szCs w:val="28"/>
          <w:rtl/>
        </w:rPr>
        <w:t xml:space="preserve">, </w:t>
      </w:r>
      <w:r w:rsidR="0083066F" w:rsidRPr="001A0B66">
        <w:rPr>
          <w:rFonts w:ascii="FrankRuehl" w:hAnsi="FrankRuehl" w:cs="FrankRuehl"/>
          <w:sz w:val="28"/>
          <w:szCs w:val="28"/>
          <w:rtl/>
        </w:rPr>
        <w:t>ש</w:t>
      </w:r>
      <w:r w:rsidR="00840D5E" w:rsidRPr="001A0B66">
        <w:rPr>
          <w:rFonts w:ascii="FrankRuehl" w:hAnsi="FrankRuehl" w:cs="FrankRuehl"/>
          <w:sz w:val="28"/>
          <w:szCs w:val="28"/>
          <w:rtl/>
        </w:rPr>
        <w:t>בה</w:t>
      </w:r>
      <w:r w:rsidR="0083066F" w:rsidRPr="001A0B66">
        <w:rPr>
          <w:rFonts w:ascii="FrankRuehl" w:hAnsi="FrankRuehl" w:cs="FrankRuehl"/>
          <w:sz w:val="28"/>
          <w:szCs w:val="28"/>
          <w:rtl/>
        </w:rPr>
        <w:t>ם</w:t>
      </w:r>
      <w:r w:rsidR="00840D5E" w:rsidRPr="001A0B66">
        <w:rPr>
          <w:rFonts w:ascii="FrankRuehl" w:hAnsi="FrankRuehl" w:cs="FrankRuehl"/>
          <w:sz w:val="28"/>
          <w:szCs w:val="28"/>
          <w:rtl/>
        </w:rPr>
        <w:t xml:space="preserve"> מונו סנגורים צבאיים</w:t>
      </w:r>
      <w:r w:rsidR="00D574F4" w:rsidRPr="001A0B66">
        <w:rPr>
          <w:rFonts w:ascii="FrankRuehl" w:hAnsi="FrankRuehl" w:cs="FrankRuehl"/>
          <w:sz w:val="28"/>
          <w:szCs w:val="28"/>
          <w:rtl/>
        </w:rPr>
        <w:t xml:space="preserve"> מצבא </w:t>
      </w:r>
      <w:r w:rsidR="0083066F" w:rsidRPr="001A0B66">
        <w:rPr>
          <w:rFonts w:ascii="FrankRuehl" w:hAnsi="FrankRuehl" w:cs="FrankRuehl"/>
          <w:sz w:val="28"/>
          <w:szCs w:val="28"/>
          <w:rtl/>
        </w:rPr>
        <w:t>ארצות הברית</w:t>
      </w:r>
      <w:r w:rsidR="00840D5E" w:rsidRPr="001A0B66">
        <w:rPr>
          <w:rFonts w:ascii="FrankRuehl" w:hAnsi="FrankRuehl" w:cs="FrankRuehl"/>
          <w:sz w:val="28"/>
          <w:szCs w:val="28"/>
          <w:rtl/>
        </w:rPr>
        <w:t xml:space="preserve"> לייצג לוחמים בלתי חוקיים ופעלו להגנתם באופן חסר מורא, </w:t>
      </w:r>
      <w:r w:rsidR="00871181" w:rsidRPr="001A0B66">
        <w:rPr>
          <w:rFonts w:ascii="FrankRuehl" w:hAnsi="FrankRuehl" w:cs="FrankRuehl"/>
          <w:sz w:val="28"/>
          <w:szCs w:val="28"/>
          <w:rtl/>
        </w:rPr>
        <w:t xml:space="preserve">פעולה </w:t>
      </w:r>
      <w:r w:rsidR="00840D5E" w:rsidRPr="001A0B66">
        <w:rPr>
          <w:rFonts w:ascii="FrankRuehl" w:hAnsi="FrankRuehl" w:cs="FrankRuehl"/>
          <w:sz w:val="28"/>
          <w:szCs w:val="28"/>
          <w:rtl/>
        </w:rPr>
        <w:t>שזיכ</w:t>
      </w:r>
      <w:r w:rsidR="00871181" w:rsidRPr="001A0B66">
        <w:rPr>
          <w:rFonts w:ascii="FrankRuehl" w:hAnsi="FrankRuehl" w:cs="FrankRuehl"/>
          <w:sz w:val="28"/>
          <w:szCs w:val="28"/>
          <w:rtl/>
        </w:rPr>
        <w:t>ת</w:t>
      </w:r>
      <w:r w:rsidR="00840D5E" w:rsidRPr="001A0B66">
        <w:rPr>
          <w:rFonts w:ascii="FrankRuehl" w:hAnsi="FrankRuehl" w:cs="FrankRuehl"/>
          <w:sz w:val="28"/>
          <w:szCs w:val="28"/>
          <w:rtl/>
        </w:rPr>
        <w:t>ה אותם גם באמון לקוחותיהם</w:t>
      </w:r>
      <w:r w:rsidR="003B33EC" w:rsidRPr="001A0B66">
        <w:rPr>
          <w:rFonts w:ascii="FrankRuehl" w:hAnsi="FrankRuehl" w:cs="FrankRuehl"/>
          <w:sz w:val="28"/>
          <w:szCs w:val="28"/>
          <w:rtl/>
        </w:rPr>
        <w:t>.</w:t>
      </w:r>
      <w:bookmarkStart w:id="99" w:name="_Ref53049203"/>
      <w:r w:rsidR="00840D5E" w:rsidRPr="001A0B66">
        <w:rPr>
          <w:rStyle w:val="FootnoteReference"/>
          <w:rFonts w:ascii="FrankRuehl" w:hAnsi="FrankRuehl" w:cs="FrankRuehl"/>
          <w:sz w:val="28"/>
          <w:szCs w:val="28"/>
          <w:rtl/>
        </w:rPr>
        <w:footnoteReference w:id="147"/>
      </w:r>
      <w:bookmarkEnd w:id="99"/>
      <w:r w:rsidR="00086293" w:rsidRPr="001A0B66">
        <w:rPr>
          <w:rFonts w:ascii="FrankRuehl" w:hAnsi="FrankRuehl" w:cs="FrankRuehl"/>
          <w:sz w:val="28"/>
          <w:szCs w:val="28"/>
          <w:rtl/>
        </w:rPr>
        <w:t xml:space="preserve"> </w:t>
      </w:r>
      <w:r w:rsidR="00CD7496" w:rsidRPr="001A0B66">
        <w:rPr>
          <w:rFonts w:ascii="FrankRuehl" w:hAnsi="FrankRuehl" w:cs="FrankRuehl"/>
          <w:sz w:val="28"/>
          <w:szCs w:val="28"/>
          <w:rtl/>
        </w:rPr>
        <w:t xml:space="preserve">אנו </w:t>
      </w:r>
      <w:r w:rsidR="00086293" w:rsidRPr="001A0B66">
        <w:rPr>
          <w:rFonts w:ascii="FrankRuehl" w:hAnsi="FrankRuehl" w:cs="FrankRuehl"/>
          <w:sz w:val="28"/>
          <w:szCs w:val="28"/>
          <w:rtl/>
        </w:rPr>
        <w:t>מעריכים</w:t>
      </w:r>
      <w:r w:rsidR="00724E99" w:rsidRPr="001A0B66">
        <w:rPr>
          <w:rFonts w:ascii="FrankRuehl" w:hAnsi="FrankRuehl" w:cs="FrankRuehl"/>
          <w:sz w:val="28"/>
          <w:szCs w:val="28"/>
          <w:rtl/>
        </w:rPr>
        <w:t xml:space="preserve"> </w:t>
      </w:r>
      <w:r w:rsidR="0083066F" w:rsidRPr="001A0B66">
        <w:rPr>
          <w:rFonts w:ascii="FrankRuehl" w:hAnsi="FrankRuehl" w:cs="FrankRuehl"/>
          <w:sz w:val="28"/>
          <w:szCs w:val="28"/>
          <w:rtl/>
        </w:rPr>
        <w:t xml:space="preserve">כי </w:t>
      </w:r>
      <w:r w:rsidR="00724E99" w:rsidRPr="001A0B66">
        <w:rPr>
          <w:rFonts w:ascii="FrankRuehl" w:hAnsi="FrankRuehl" w:cs="FrankRuehl"/>
          <w:sz w:val="28"/>
          <w:szCs w:val="28"/>
          <w:rtl/>
        </w:rPr>
        <w:t>הסנגוריה הצבאית בישראל יכולה להתגייס למטרת הבטחת הליך נאות גם בהליכים מסוג זה</w:t>
      </w:r>
      <w:r w:rsidR="00B047BB" w:rsidRPr="001A0B66">
        <w:rPr>
          <w:rFonts w:ascii="FrankRuehl" w:hAnsi="FrankRuehl" w:cs="FrankRuehl"/>
          <w:sz w:val="28"/>
          <w:szCs w:val="28"/>
          <w:rtl/>
        </w:rPr>
        <w:t>, ו</w:t>
      </w:r>
      <w:r w:rsidR="0083066F" w:rsidRPr="001A0B66">
        <w:rPr>
          <w:rFonts w:ascii="FrankRuehl" w:hAnsi="FrankRuehl" w:cs="FrankRuehl"/>
          <w:sz w:val="28"/>
          <w:szCs w:val="28"/>
          <w:rtl/>
        </w:rPr>
        <w:t xml:space="preserve">כי </w:t>
      </w:r>
      <w:r w:rsidR="00B047BB" w:rsidRPr="001A0B66">
        <w:rPr>
          <w:rFonts w:ascii="FrankRuehl" w:hAnsi="FrankRuehl" w:cs="FrankRuehl"/>
          <w:sz w:val="28"/>
          <w:szCs w:val="28"/>
          <w:rtl/>
        </w:rPr>
        <w:t xml:space="preserve">אימוץ נקודת המבט </w:t>
      </w:r>
      <w:proofErr w:type="spellStart"/>
      <w:r w:rsidR="00B047BB" w:rsidRPr="001A0B66">
        <w:rPr>
          <w:rFonts w:ascii="FrankRuehl" w:hAnsi="FrankRuehl" w:cs="FrankRuehl"/>
          <w:sz w:val="28"/>
          <w:szCs w:val="28"/>
          <w:rtl/>
        </w:rPr>
        <w:t>הסנגוריאלית</w:t>
      </w:r>
      <w:proofErr w:type="spellEnd"/>
      <w:r w:rsidR="00B047BB" w:rsidRPr="001A0B66">
        <w:rPr>
          <w:rFonts w:ascii="FrankRuehl" w:hAnsi="FrankRuehl" w:cs="FrankRuehl"/>
          <w:sz w:val="28"/>
          <w:szCs w:val="28"/>
          <w:rtl/>
        </w:rPr>
        <w:t xml:space="preserve"> על ידה בהליכי</w:t>
      </w:r>
      <w:r w:rsidR="00785DE2" w:rsidRPr="001A0B66">
        <w:rPr>
          <w:rFonts w:ascii="FrankRuehl" w:hAnsi="FrankRuehl" w:cs="FrankRuehl"/>
          <w:sz w:val="28"/>
          <w:szCs w:val="28"/>
          <w:rtl/>
        </w:rPr>
        <w:t>ם</w:t>
      </w:r>
      <w:r w:rsidR="00B047BB" w:rsidRPr="001A0B66">
        <w:rPr>
          <w:rFonts w:ascii="FrankRuehl" w:hAnsi="FrankRuehl" w:cs="FrankRuehl"/>
          <w:sz w:val="28"/>
          <w:szCs w:val="28"/>
          <w:rtl/>
        </w:rPr>
        <w:t xml:space="preserve"> מסוג זה </w:t>
      </w:r>
      <w:r w:rsidR="0083066F" w:rsidRPr="001A0B66">
        <w:rPr>
          <w:rFonts w:ascii="FrankRuehl" w:hAnsi="FrankRuehl" w:cs="FrankRuehl"/>
          <w:sz w:val="28"/>
          <w:szCs w:val="28"/>
          <w:rtl/>
        </w:rPr>
        <w:t xml:space="preserve">עשוי </w:t>
      </w:r>
      <w:r w:rsidR="00B047BB" w:rsidRPr="001A0B66">
        <w:rPr>
          <w:rFonts w:ascii="FrankRuehl" w:hAnsi="FrankRuehl" w:cs="FrankRuehl"/>
          <w:sz w:val="28"/>
          <w:szCs w:val="28"/>
          <w:rtl/>
        </w:rPr>
        <w:t xml:space="preserve">להגביר את ההכרה בחשיבות </w:t>
      </w:r>
      <w:r w:rsidR="00785DE2" w:rsidRPr="001A0B66">
        <w:rPr>
          <w:rFonts w:ascii="FrankRuehl" w:hAnsi="FrankRuehl" w:cs="FrankRuehl"/>
          <w:sz w:val="28"/>
          <w:szCs w:val="28"/>
          <w:rtl/>
        </w:rPr>
        <w:t>ה</w:t>
      </w:r>
      <w:r w:rsidR="00B047BB" w:rsidRPr="001A0B66">
        <w:rPr>
          <w:rFonts w:ascii="FrankRuehl" w:hAnsi="FrankRuehl" w:cs="FrankRuehl"/>
          <w:sz w:val="28"/>
          <w:szCs w:val="28"/>
          <w:rtl/>
        </w:rPr>
        <w:t>שמירה על זכויות האדם וההליך ההוגן בקרב הפרקליטות הצבאית ככלל</w:t>
      </w:r>
      <w:r w:rsidR="00724E99" w:rsidRPr="001A0B66">
        <w:rPr>
          <w:rFonts w:ascii="FrankRuehl" w:hAnsi="FrankRuehl" w:cs="FrankRuehl"/>
          <w:sz w:val="28"/>
          <w:szCs w:val="28"/>
          <w:rtl/>
        </w:rPr>
        <w:t>.</w:t>
      </w:r>
      <w:r w:rsidR="009A6851" w:rsidRPr="001A0B66">
        <w:rPr>
          <w:rFonts w:ascii="FrankRuehl" w:hAnsi="FrankRuehl" w:cs="FrankRuehl"/>
          <w:sz w:val="28"/>
          <w:szCs w:val="28"/>
          <w:rtl/>
        </w:rPr>
        <w:t xml:space="preserve"> </w:t>
      </w:r>
    </w:p>
    <w:p w14:paraId="14DEED99" w14:textId="77777777" w:rsidR="00DF164F" w:rsidRPr="001A0B66" w:rsidRDefault="00DF164F" w:rsidP="00F307FB">
      <w:pPr>
        <w:pStyle w:val="a1"/>
        <w:numPr>
          <w:ilvl w:val="0"/>
          <w:numId w:val="43"/>
        </w:numPr>
        <w:spacing w:line="276" w:lineRule="auto"/>
        <w:rPr>
          <w:rFonts w:ascii="FrankRuehl" w:hAnsi="FrankRuehl" w:cs="FrankRuehl"/>
          <w:sz w:val="28"/>
          <w:szCs w:val="28"/>
          <w:rtl/>
        </w:rPr>
      </w:pPr>
      <w:r w:rsidRPr="001A0B66">
        <w:rPr>
          <w:rFonts w:ascii="FrankRuehl" w:hAnsi="FrankRuehl" w:cs="FrankRuehl"/>
          <w:sz w:val="28"/>
          <w:szCs w:val="28"/>
          <w:rtl/>
        </w:rPr>
        <w:t xml:space="preserve">מאחר </w:t>
      </w:r>
      <w:r w:rsidR="0083066F" w:rsidRPr="001A0B66">
        <w:rPr>
          <w:rFonts w:ascii="FrankRuehl" w:hAnsi="FrankRuehl" w:cs="FrankRuehl"/>
          <w:sz w:val="28"/>
          <w:szCs w:val="28"/>
          <w:rtl/>
        </w:rPr>
        <w:t>ש</w:t>
      </w:r>
      <w:r w:rsidRPr="001A0B66">
        <w:rPr>
          <w:rFonts w:ascii="FrankRuehl" w:hAnsi="FrankRuehl" w:cs="FrankRuehl"/>
          <w:sz w:val="28"/>
          <w:szCs w:val="28"/>
          <w:rtl/>
        </w:rPr>
        <w:t xml:space="preserve">עורך הדין המיוחד נוסף על הסנגור </w:t>
      </w:r>
      <w:r w:rsidR="00785DE2" w:rsidRPr="001A0B66">
        <w:rPr>
          <w:rFonts w:ascii="FrankRuehl" w:hAnsi="FrankRuehl" w:cs="FrankRuehl"/>
          <w:sz w:val="28"/>
          <w:szCs w:val="28"/>
          <w:rtl/>
        </w:rPr>
        <w:t>הרגיל</w:t>
      </w:r>
      <w:r w:rsidRPr="001A0B66">
        <w:rPr>
          <w:rFonts w:ascii="FrankRuehl" w:hAnsi="FrankRuehl" w:cs="FrankRuehl"/>
          <w:sz w:val="28"/>
          <w:szCs w:val="28"/>
          <w:rtl/>
        </w:rPr>
        <w:t xml:space="preserve">, לעצורים יהיה עורך דין </w:t>
      </w:r>
      <w:r w:rsidR="00785DE2" w:rsidRPr="001A0B66">
        <w:rPr>
          <w:rFonts w:ascii="FrankRuehl" w:hAnsi="FrankRuehl" w:cs="FrankRuehl"/>
          <w:sz w:val="28"/>
          <w:szCs w:val="28"/>
          <w:rtl/>
        </w:rPr>
        <w:t>שכזה</w:t>
      </w:r>
      <w:r w:rsidRPr="001A0B66">
        <w:rPr>
          <w:rFonts w:ascii="FrankRuehl" w:hAnsi="FrankRuehl" w:cs="FrankRuehl"/>
          <w:sz w:val="28"/>
          <w:szCs w:val="28"/>
          <w:rtl/>
        </w:rPr>
        <w:t xml:space="preserve"> על פי בחירתם, והם עשויים לראות יתרון בכ</w:t>
      </w:r>
      <w:r w:rsidR="00785DE2" w:rsidRPr="001A0B66">
        <w:rPr>
          <w:rFonts w:ascii="FrankRuehl" w:hAnsi="FrankRuehl" w:cs="FrankRuehl"/>
          <w:sz w:val="28"/>
          <w:szCs w:val="28"/>
          <w:rtl/>
        </w:rPr>
        <w:t>ך</w:t>
      </w:r>
      <w:r w:rsidRPr="001A0B66">
        <w:rPr>
          <w:rFonts w:ascii="FrankRuehl" w:hAnsi="FrankRuehl" w:cs="FrankRuehl"/>
          <w:sz w:val="28"/>
          <w:szCs w:val="28"/>
          <w:rtl/>
        </w:rPr>
        <w:t xml:space="preserve"> שיש גורם נוסף מתוך המערכת הצבאית שתפקידו לסייע בהגנה עליהם. </w:t>
      </w:r>
    </w:p>
    <w:p w14:paraId="474DB4AA" w14:textId="77777777" w:rsidR="00DF164F" w:rsidRPr="001A0B66" w:rsidRDefault="0083066F" w:rsidP="00F307FB">
      <w:pPr>
        <w:pStyle w:val="a1"/>
        <w:numPr>
          <w:ilvl w:val="0"/>
          <w:numId w:val="43"/>
        </w:numPr>
        <w:spacing w:line="276" w:lineRule="auto"/>
        <w:rPr>
          <w:rFonts w:ascii="FrankRuehl" w:hAnsi="FrankRuehl" w:cs="FrankRuehl"/>
          <w:sz w:val="28"/>
          <w:szCs w:val="28"/>
        </w:rPr>
      </w:pPr>
      <w:r w:rsidRPr="001A0B66">
        <w:rPr>
          <w:rFonts w:ascii="FrankRuehl" w:hAnsi="FrankRuehl" w:cs="FrankRuehl"/>
          <w:sz w:val="28"/>
          <w:szCs w:val="28"/>
          <w:rtl/>
        </w:rPr>
        <w:t xml:space="preserve">כמו </w:t>
      </w:r>
      <w:r w:rsidR="00195803" w:rsidRPr="001A0B66">
        <w:rPr>
          <w:rFonts w:ascii="FrankRuehl" w:hAnsi="FrankRuehl" w:cs="FrankRuehl"/>
          <w:sz w:val="28"/>
          <w:szCs w:val="28"/>
          <w:rtl/>
        </w:rPr>
        <w:t>אצל</w:t>
      </w:r>
      <w:r w:rsidRPr="001A0B66">
        <w:rPr>
          <w:rFonts w:ascii="FrankRuehl" w:hAnsi="FrankRuehl" w:cs="FrankRuehl"/>
          <w:sz w:val="28"/>
          <w:szCs w:val="28"/>
          <w:rtl/>
        </w:rPr>
        <w:t xml:space="preserve"> חלק גדול מעורכי הדין המיוחדים וחלק מהסנגורים הישראלים הפועלים בשטחים, </w:t>
      </w:r>
      <w:r w:rsidR="00DF164F" w:rsidRPr="001A0B66">
        <w:rPr>
          <w:rFonts w:ascii="FrankRuehl" w:hAnsi="FrankRuehl" w:cs="FrankRuehl"/>
          <w:sz w:val="28"/>
          <w:szCs w:val="28"/>
          <w:rtl/>
        </w:rPr>
        <w:t xml:space="preserve">בעיית התקשורת בין עצורים שאינם דוברי עברית לסנגורים צבאיים שאינם דוברי ערבית </w:t>
      </w:r>
      <w:r w:rsidR="0036223F" w:rsidRPr="001A0B66">
        <w:rPr>
          <w:rFonts w:ascii="FrankRuehl" w:hAnsi="FrankRuehl" w:cs="FrankRuehl"/>
          <w:sz w:val="28"/>
          <w:szCs w:val="28"/>
          <w:rtl/>
        </w:rPr>
        <w:t xml:space="preserve">תדרוש </w:t>
      </w:r>
      <w:r w:rsidR="00DF164F" w:rsidRPr="001A0B66">
        <w:rPr>
          <w:rFonts w:ascii="FrankRuehl" w:hAnsi="FrankRuehl" w:cs="FrankRuehl"/>
          <w:sz w:val="28"/>
          <w:szCs w:val="28"/>
          <w:rtl/>
        </w:rPr>
        <w:t>שימוש במתורגמנים</w:t>
      </w:r>
      <w:r w:rsidR="0036223F" w:rsidRPr="001A0B66">
        <w:rPr>
          <w:rFonts w:ascii="FrankRuehl" w:hAnsi="FrankRuehl" w:cs="FrankRuehl"/>
          <w:sz w:val="28"/>
          <w:szCs w:val="28"/>
          <w:rtl/>
        </w:rPr>
        <w:t>. מתורגמנים</w:t>
      </w:r>
      <w:r w:rsidRPr="001A0B66">
        <w:rPr>
          <w:rFonts w:ascii="FrankRuehl" w:hAnsi="FrankRuehl" w:cs="FrankRuehl"/>
          <w:sz w:val="28"/>
          <w:szCs w:val="28"/>
          <w:rtl/>
        </w:rPr>
        <w:t xml:space="preserve"> כאלה כבר</w:t>
      </w:r>
      <w:r w:rsidR="0036223F" w:rsidRPr="001A0B66">
        <w:rPr>
          <w:rFonts w:ascii="FrankRuehl" w:hAnsi="FrankRuehl" w:cs="FrankRuehl"/>
          <w:sz w:val="28"/>
          <w:szCs w:val="28"/>
          <w:rtl/>
        </w:rPr>
        <w:t xml:space="preserve"> פועלים </w:t>
      </w:r>
      <w:r w:rsidR="00DF164F" w:rsidRPr="001A0B66">
        <w:rPr>
          <w:rFonts w:ascii="FrankRuehl" w:hAnsi="FrankRuehl" w:cs="FrankRuehl"/>
          <w:sz w:val="28"/>
          <w:szCs w:val="28"/>
          <w:rtl/>
        </w:rPr>
        <w:t>במערכת הצבאית, לרבות בבתי המשפט הצבאיים</w:t>
      </w:r>
      <w:r w:rsidR="00785DE2" w:rsidRPr="001A0B66">
        <w:rPr>
          <w:rFonts w:ascii="FrankRuehl" w:hAnsi="FrankRuehl" w:cs="FrankRuehl"/>
          <w:sz w:val="28"/>
          <w:szCs w:val="28"/>
          <w:rtl/>
        </w:rPr>
        <w:t>. ב</w:t>
      </w:r>
      <w:r w:rsidR="00AD3675" w:rsidRPr="001A0B66">
        <w:rPr>
          <w:rFonts w:ascii="FrankRuehl" w:hAnsi="FrankRuehl" w:cs="FrankRuehl"/>
          <w:sz w:val="28"/>
          <w:szCs w:val="28"/>
          <w:rtl/>
        </w:rPr>
        <w:t>עת הפגישה בינ</w:t>
      </w:r>
      <w:r w:rsidR="00195803" w:rsidRPr="001A0B66">
        <w:rPr>
          <w:rFonts w:ascii="FrankRuehl" w:hAnsi="FrankRuehl" w:cs="FrankRuehl"/>
          <w:sz w:val="28"/>
          <w:szCs w:val="28"/>
          <w:rtl/>
        </w:rPr>
        <w:t>ה</w:t>
      </w:r>
      <w:r w:rsidR="00AD3675" w:rsidRPr="001A0B66">
        <w:rPr>
          <w:rFonts w:ascii="FrankRuehl" w:hAnsi="FrankRuehl" w:cs="FrankRuehl"/>
          <w:sz w:val="28"/>
          <w:szCs w:val="28"/>
          <w:rtl/>
        </w:rPr>
        <w:t xml:space="preserve"> לבין האדם </w:t>
      </w:r>
      <w:r w:rsidR="00BC5C64" w:rsidRPr="001A0B66">
        <w:rPr>
          <w:rFonts w:ascii="FrankRuehl" w:hAnsi="FrankRuehl" w:cs="FrankRuehl"/>
          <w:sz w:val="28"/>
          <w:szCs w:val="28"/>
          <w:rtl/>
        </w:rPr>
        <w:t>ת</w:t>
      </w:r>
      <w:r w:rsidR="00AD3675" w:rsidRPr="001A0B66">
        <w:rPr>
          <w:rFonts w:ascii="FrankRuehl" w:hAnsi="FrankRuehl" w:cs="FrankRuehl"/>
          <w:sz w:val="28"/>
          <w:szCs w:val="28"/>
          <w:rtl/>
        </w:rPr>
        <w:t>וכל עור</w:t>
      </w:r>
      <w:r w:rsidR="00BC5C64" w:rsidRPr="001A0B66">
        <w:rPr>
          <w:rFonts w:ascii="FrankRuehl" w:hAnsi="FrankRuehl" w:cs="FrankRuehl"/>
          <w:sz w:val="28"/>
          <w:szCs w:val="28"/>
          <w:rtl/>
        </w:rPr>
        <w:t>כת</w:t>
      </w:r>
      <w:r w:rsidR="00AD3675" w:rsidRPr="001A0B66">
        <w:rPr>
          <w:rFonts w:ascii="FrankRuehl" w:hAnsi="FrankRuehl" w:cs="FrankRuehl"/>
          <w:sz w:val="28"/>
          <w:szCs w:val="28"/>
          <w:rtl/>
        </w:rPr>
        <w:t xml:space="preserve"> הדין המיוחד</w:t>
      </w:r>
      <w:r w:rsidR="00BC5C64" w:rsidRPr="001A0B66">
        <w:rPr>
          <w:rFonts w:ascii="FrankRuehl" w:hAnsi="FrankRuehl" w:cs="FrankRuehl"/>
          <w:sz w:val="28"/>
          <w:szCs w:val="28"/>
          <w:rtl/>
        </w:rPr>
        <w:t>ת</w:t>
      </w:r>
      <w:r w:rsidR="00AD3675" w:rsidRPr="001A0B66">
        <w:rPr>
          <w:rFonts w:ascii="FrankRuehl" w:hAnsi="FrankRuehl" w:cs="FrankRuehl"/>
          <w:sz w:val="28"/>
          <w:szCs w:val="28"/>
          <w:rtl/>
        </w:rPr>
        <w:t xml:space="preserve"> להסתייע גם בעורך הדין הרגיל.</w:t>
      </w:r>
      <w:r w:rsidRPr="001A0B66">
        <w:rPr>
          <w:rFonts w:ascii="FrankRuehl" w:hAnsi="FrankRuehl" w:cs="FrankRuehl"/>
          <w:sz w:val="28"/>
          <w:szCs w:val="28"/>
          <w:rtl/>
        </w:rPr>
        <w:t xml:space="preserve"> כזכור,</w:t>
      </w:r>
      <w:r w:rsidR="00AD3675" w:rsidRPr="001A0B66">
        <w:rPr>
          <w:rFonts w:ascii="FrankRuehl" w:hAnsi="FrankRuehl" w:cs="FrankRuehl"/>
          <w:sz w:val="28"/>
          <w:szCs w:val="28"/>
          <w:rtl/>
        </w:rPr>
        <w:t xml:space="preserve"> המפגש מתקיים לפני שעור</w:t>
      </w:r>
      <w:r w:rsidRPr="001A0B66">
        <w:rPr>
          <w:rFonts w:ascii="FrankRuehl" w:hAnsi="FrankRuehl" w:cs="FrankRuehl"/>
          <w:sz w:val="28"/>
          <w:szCs w:val="28"/>
          <w:rtl/>
        </w:rPr>
        <w:t>כת</w:t>
      </w:r>
      <w:r w:rsidR="00AD3675" w:rsidRPr="001A0B66">
        <w:rPr>
          <w:rFonts w:ascii="FrankRuehl" w:hAnsi="FrankRuehl" w:cs="FrankRuehl"/>
          <w:sz w:val="28"/>
          <w:szCs w:val="28"/>
          <w:rtl/>
        </w:rPr>
        <w:t xml:space="preserve"> הדין המיוחד</w:t>
      </w:r>
      <w:r w:rsidRPr="001A0B66">
        <w:rPr>
          <w:rFonts w:ascii="FrankRuehl" w:hAnsi="FrankRuehl" w:cs="FrankRuehl"/>
          <w:sz w:val="28"/>
          <w:szCs w:val="28"/>
          <w:rtl/>
        </w:rPr>
        <w:t>ת</w:t>
      </w:r>
      <w:r w:rsidR="00AD3675" w:rsidRPr="001A0B66">
        <w:rPr>
          <w:rFonts w:ascii="FrankRuehl" w:hAnsi="FrankRuehl" w:cs="FrankRuehl"/>
          <w:sz w:val="28"/>
          <w:szCs w:val="28"/>
          <w:rtl/>
        </w:rPr>
        <w:t xml:space="preserve"> </w:t>
      </w:r>
      <w:r w:rsidRPr="001A0B66">
        <w:rPr>
          <w:rFonts w:ascii="FrankRuehl" w:hAnsi="FrankRuehl" w:cs="FrankRuehl"/>
          <w:sz w:val="28"/>
          <w:szCs w:val="28"/>
          <w:rtl/>
        </w:rPr>
        <w:t xml:space="preserve">נחשפה </w:t>
      </w:r>
      <w:r w:rsidR="00AD3675" w:rsidRPr="001A0B66">
        <w:rPr>
          <w:rFonts w:ascii="FrankRuehl" w:hAnsi="FrankRuehl" w:cs="FrankRuehl"/>
          <w:sz w:val="28"/>
          <w:szCs w:val="28"/>
          <w:rtl/>
        </w:rPr>
        <w:t xml:space="preserve">לראיות החסויות. הסתייעות זו </w:t>
      </w:r>
      <w:r w:rsidR="00FA4522" w:rsidRPr="001A0B66">
        <w:rPr>
          <w:rFonts w:ascii="FrankRuehl" w:hAnsi="FrankRuehl" w:cs="FrankRuehl"/>
          <w:sz w:val="28"/>
          <w:szCs w:val="28"/>
          <w:rtl/>
        </w:rPr>
        <w:t>לא ת</w:t>
      </w:r>
      <w:r w:rsidR="00AD3675" w:rsidRPr="001A0B66">
        <w:rPr>
          <w:rFonts w:ascii="FrankRuehl" w:hAnsi="FrankRuehl" w:cs="FrankRuehl"/>
          <w:sz w:val="28"/>
          <w:szCs w:val="28"/>
          <w:rtl/>
        </w:rPr>
        <w:t>ייתר</w:t>
      </w:r>
      <w:r w:rsidR="00BA326D" w:rsidRPr="001A0B66">
        <w:rPr>
          <w:rFonts w:ascii="FrankRuehl" w:hAnsi="FrankRuehl" w:cs="FrankRuehl"/>
          <w:sz w:val="28"/>
          <w:szCs w:val="28"/>
          <w:rtl/>
        </w:rPr>
        <w:t>, עם זאת,</w:t>
      </w:r>
      <w:r w:rsidR="00AD3675" w:rsidRPr="001A0B66">
        <w:rPr>
          <w:rFonts w:ascii="FrankRuehl" w:hAnsi="FrankRuehl" w:cs="FrankRuehl"/>
          <w:sz w:val="28"/>
          <w:szCs w:val="28"/>
          <w:rtl/>
        </w:rPr>
        <w:t xml:space="preserve"> את הצורך להסתייע</w:t>
      </w:r>
      <w:r w:rsidR="00FA4522" w:rsidRPr="001A0B66">
        <w:rPr>
          <w:rFonts w:ascii="FrankRuehl" w:hAnsi="FrankRuehl" w:cs="FrankRuehl"/>
          <w:sz w:val="28"/>
          <w:szCs w:val="28"/>
          <w:rtl/>
        </w:rPr>
        <w:t xml:space="preserve"> </w:t>
      </w:r>
      <w:r w:rsidR="00AD3675" w:rsidRPr="001A0B66">
        <w:rPr>
          <w:rFonts w:ascii="FrankRuehl" w:hAnsi="FrankRuehl" w:cs="FrankRuehl"/>
          <w:sz w:val="28"/>
          <w:szCs w:val="28"/>
          <w:rtl/>
        </w:rPr>
        <w:t>במתורגמנים להבנת הראיות החסויות עצמן</w:t>
      </w:r>
      <w:r w:rsidR="00BA326D" w:rsidRPr="001A0B66">
        <w:rPr>
          <w:rFonts w:ascii="FrankRuehl" w:hAnsi="FrankRuehl" w:cs="FrankRuehl"/>
          <w:sz w:val="28"/>
          <w:szCs w:val="28"/>
          <w:rtl/>
        </w:rPr>
        <w:t xml:space="preserve">, ולכן </w:t>
      </w:r>
      <w:r w:rsidR="00980DE0" w:rsidRPr="001A0B66">
        <w:rPr>
          <w:rFonts w:ascii="FrankRuehl" w:hAnsi="FrankRuehl" w:cs="FrankRuehl"/>
          <w:sz w:val="28"/>
          <w:szCs w:val="28"/>
          <w:rtl/>
        </w:rPr>
        <w:t xml:space="preserve">יש צורך בהסדרה מקיפה יותר של ההסתייעות במתורגמנים. </w:t>
      </w:r>
    </w:p>
    <w:p w14:paraId="0B18AC70" w14:textId="77777777" w:rsidR="003E2796" w:rsidRPr="001A0B66" w:rsidRDefault="00B579D7" w:rsidP="00F307FB">
      <w:pPr>
        <w:pStyle w:val="a1"/>
        <w:spacing w:line="276" w:lineRule="auto"/>
        <w:rPr>
          <w:rFonts w:ascii="FrankRuehl" w:hAnsi="FrankRuehl" w:cs="FrankRuehl"/>
          <w:sz w:val="28"/>
          <w:szCs w:val="28"/>
        </w:rPr>
      </w:pPr>
      <w:r w:rsidRPr="001A0B66">
        <w:rPr>
          <w:rFonts w:ascii="FrankRuehl" w:hAnsi="FrankRuehl" w:cs="FrankRuehl"/>
          <w:sz w:val="28"/>
          <w:szCs w:val="28"/>
          <w:rtl/>
        </w:rPr>
        <w:t xml:space="preserve">כאמור לעיל, </w:t>
      </w:r>
      <w:r w:rsidR="003E2796" w:rsidRPr="001A0B66">
        <w:rPr>
          <w:rFonts w:ascii="FrankRuehl" w:hAnsi="FrankRuehl" w:cs="FrankRuehl"/>
          <w:sz w:val="28"/>
          <w:szCs w:val="28"/>
          <w:rtl/>
        </w:rPr>
        <w:t>ככל שהדברים עשויים להישמע מפתיעים לאוז</w:t>
      </w:r>
      <w:r w:rsidR="007749A1" w:rsidRPr="001A0B66">
        <w:rPr>
          <w:rFonts w:ascii="FrankRuehl" w:hAnsi="FrankRuehl" w:cs="FrankRuehl"/>
          <w:sz w:val="28"/>
          <w:szCs w:val="28"/>
          <w:rtl/>
        </w:rPr>
        <w:t>ניים ישראליות,</w:t>
      </w:r>
      <w:r w:rsidR="003E2796" w:rsidRPr="001A0B66">
        <w:rPr>
          <w:rFonts w:ascii="FrankRuehl" w:hAnsi="FrankRuehl" w:cs="FrankRuehl"/>
          <w:sz w:val="28"/>
          <w:szCs w:val="28"/>
          <w:rtl/>
        </w:rPr>
        <w:t xml:space="preserve"> הנ</w:t>
      </w:r>
      <w:r w:rsidR="000B7DE2" w:rsidRPr="001A0B66">
        <w:rPr>
          <w:rFonts w:ascii="FrankRuehl" w:hAnsi="FrankRuehl" w:cs="FrankRuehl"/>
          <w:sz w:val="28"/>
          <w:szCs w:val="28"/>
          <w:rtl/>
        </w:rPr>
        <w:t>י</w:t>
      </w:r>
      <w:r w:rsidR="003E2796" w:rsidRPr="001A0B66">
        <w:rPr>
          <w:rFonts w:ascii="FrankRuehl" w:hAnsi="FrankRuehl" w:cs="FrankRuehl"/>
          <w:sz w:val="28"/>
          <w:szCs w:val="28"/>
          <w:rtl/>
        </w:rPr>
        <w:t xml:space="preserve">סיון האמריקאי בגואנטנמו </w:t>
      </w:r>
      <w:r w:rsidR="00215B27" w:rsidRPr="001A0B66">
        <w:rPr>
          <w:rFonts w:ascii="FrankRuehl" w:hAnsi="FrankRuehl" w:cs="FrankRuehl"/>
          <w:sz w:val="28"/>
          <w:szCs w:val="28"/>
          <w:rtl/>
        </w:rPr>
        <w:t xml:space="preserve">תומך </w:t>
      </w:r>
      <w:proofErr w:type="spellStart"/>
      <w:r w:rsidR="00215B27" w:rsidRPr="001A0B66">
        <w:rPr>
          <w:rFonts w:ascii="FrankRuehl" w:hAnsi="FrankRuehl" w:cs="FrankRuehl"/>
          <w:sz w:val="28"/>
          <w:szCs w:val="28"/>
          <w:rtl/>
        </w:rPr>
        <w:t>בנסי</w:t>
      </w:r>
      <w:r w:rsidR="00B45AF9" w:rsidRPr="001A0B66">
        <w:rPr>
          <w:rFonts w:ascii="FrankRuehl" w:hAnsi="FrankRuehl" w:cs="FrankRuehl"/>
          <w:sz w:val="28"/>
          <w:szCs w:val="28"/>
          <w:rtl/>
        </w:rPr>
        <w:t>ון</w:t>
      </w:r>
      <w:proofErr w:type="spellEnd"/>
      <w:r w:rsidR="00215B27" w:rsidRPr="001A0B66">
        <w:rPr>
          <w:rFonts w:ascii="FrankRuehl" w:hAnsi="FrankRuehl" w:cs="FrankRuehl"/>
          <w:sz w:val="28"/>
          <w:szCs w:val="28"/>
          <w:rtl/>
        </w:rPr>
        <w:t xml:space="preserve"> האז</w:t>
      </w:r>
      <w:r w:rsidR="001B51B6" w:rsidRPr="001A0B66">
        <w:rPr>
          <w:rFonts w:ascii="FrankRuehl" w:hAnsi="FrankRuehl" w:cs="FrankRuehl"/>
          <w:sz w:val="28"/>
          <w:szCs w:val="28"/>
          <w:rtl/>
        </w:rPr>
        <w:t>ר</w:t>
      </w:r>
      <w:r w:rsidR="00215B27" w:rsidRPr="001A0B66">
        <w:rPr>
          <w:rFonts w:ascii="FrankRuehl" w:hAnsi="FrankRuehl" w:cs="FrankRuehl"/>
          <w:sz w:val="28"/>
          <w:szCs w:val="28"/>
          <w:rtl/>
        </w:rPr>
        <w:t>חי שנצבר בישראל ו</w:t>
      </w:r>
      <w:r w:rsidR="00871181" w:rsidRPr="001A0B66">
        <w:rPr>
          <w:rFonts w:ascii="FrankRuehl" w:hAnsi="FrankRuehl" w:cs="FrankRuehl"/>
          <w:sz w:val="28"/>
          <w:szCs w:val="28"/>
          <w:rtl/>
        </w:rPr>
        <w:t>מצביע על יכולתם</w:t>
      </w:r>
      <w:r w:rsidR="002D26D7" w:rsidRPr="001A0B66">
        <w:rPr>
          <w:rFonts w:ascii="FrankRuehl" w:hAnsi="FrankRuehl" w:cs="FrankRuehl"/>
          <w:sz w:val="28"/>
          <w:szCs w:val="28"/>
          <w:rtl/>
        </w:rPr>
        <w:t xml:space="preserve"> של סנגורים צבאיים ל</w:t>
      </w:r>
      <w:r w:rsidR="00871181" w:rsidRPr="001A0B66">
        <w:rPr>
          <w:rFonts w:ascii="FrankRuehl" w:hAnsi="FrankRuehl" w:cs="FrankRuehl"/>
          <w:sz w:val="28"/>
          <w:szCs w:val="28"/>
          <w:rtl/>
        </w:rPr>
        <w:t>הפגין נאמנות כלפי כל אחד מ</w:t>
      </w:r>
      <w:r w:rsidR="002D26D7" w:rsidRPr="001A0B66">
        <w:rPr>
          <w:rFonts w:ascii="FrankRuehl" w:hAnsi="FrankRuehl" w:cs="FrankRuehl"/>
          <w:sz w:val="28"/>
          <w:szCs w:val="28"/>
          <w:rtl/>
        </w:rPr>
        <w:t>לקוחותיהם,</w:t>
      </w:r>
      <w:r w:rsidR="003E2796" w:rsidRPr="001A0B66">
        <w:rPr>
          <w:rFonts w:ascii="FrankRuehl" w:hAnsi="FrankRuehl" w:cs="FrankRuehl"/>
          <w:sz w:val="28"/>
          <w:szCs w:val="28"/>
          <w:rtl/>
        </w:rPr>
        <w:t xml:space="preserve"> </w:t>
      </w:r>
      <w:r w:rsidR="00871181" w:rsidRPr="001A0B66">
        <w:rPr>
          <w:rFonts w:ascii="FrankRuehl" w:hAnsi="FrankRuehl" w:cs="FrankRuehl"/>
          <w:sz w:val="28"/>
          <w:szCs w:val="28"/>
          <w:rtl/>
        </w:rPr>
        <w:t>וכך לזכות</w:t>
      </w:r>
      <w:r w:rsidR="00DF164F" w:rsidRPr="001A0B66">
        <w:rPr>
          <w:rFonts w:ascii="FrankRuehl" w:hAnsi="FrankRuehl" w:cs="FrankRuehl"/>
          <w:sz w:val="28"/>
          <w:szCs w:val="28"/>
          <w:rtl/>
        </w:rPr>
        <w:t xml:space="preserve"> באמון ש</w:t>
      </w:r>
      <w:r w:rsidR="00BC5C64" w:rsidRPr="001A0B66">
        <w:rPr>
          <w:rFonts w:ascii="FrankRuehl" w:hAnsi="FrankRuehl" w:cs="FrankRuehl"/>
          <w:sz w:val="28"/>
          <w:szCs w:val="28"/>
          <w:rtl/>
        </w:rPr>
        <w:t>ל מי ש</w:t>
      </w:r>
      <w:r w:rsidR="00DF164F" w:rsidRPr="001A0B66">
        <w:rPr>
          <w:rFonts w:ascii="FrankRuehl" w:hAnsi="FrankRuehl" w:cs="FrankRuehl"/>
          <w:sz w:val="28"/>
          <w:szCs w:val="28"/>
          <w:rtl/>
        </w:rPr>
        <w:t xml:space="preserve">היו עצורים כלוחמים בלתי חוקיים. </w:t>
      </w:r>
      <w:r w:rsidR="003E2796" w:rsidRPr="001A0B66">
        <w:rPr>
          <w:rFonts w:ascii="FrankRuehl" w:hAnsi="FrankRuehl" w:cs="FrankRuehl"/>
          <w:sz w:val="28"/>
          <w:szCs w:val="28"/>
          <w:rtl/>
        </w:rPr>
        <w:t>כ</w:t>
      </w:r>
      <w:r w:rsidR="005D23C6" w:rsidRPr="001A0B66">
        <w:rPr>
          <w:rFonts w:ascii="FrankRuehl" w:hAnsi="FrankRuehl" w:cs="FrankRuehl"/>
          <w:sz w:val="28"/>
          <w:szCs w:val="28"/>
          <w:rtl/>
        </w:rPr>
        <w:t>פ</w:t>
      </w:r>
      <w:r w:rsidR="003E2796" w:rsidRPr="001A0B66">
        <w:rPr>
          <w:rFonts w:ascii="FrankRuehl" w:hAnsi="FrankRuehl" w:cs="FrankRuehl"/>
          <w:sz w:val="28"/>
          <w:szCs w:val="28"/>
          <w:rtl/>
        </w:rPr>
        <w:t>י</w:t>
      </w:r>
      <w:r w:rsidR="005D23C6" w:rsidRPr="001A0B66">
        <w:rPr>
          <w:rFonts w:ascii="FrankRuehl" w:hAnsi="FrankRuehl" w:cs="FrankRuehl"/>
          <w:sz w:val="28"/>
          <w:szCs w:val="28"/>
          <w:rtl/>
        </w:rPr>
        <w:t xml:space="preserve"> שכותב </w:t>
      </w:r>
      <w:proofErr w:type="spellStart"/>
      <w:r w:rsidR="005D23C6" w:rsidRPr="001A0B66">
        <w:rPr>
          <w:rFonts w:ascii="FrankRuehl" w:hAnsi="FrankRuehl" w:cs="FrankRuehl"/>
          <w:sz w:val="28"/>
          <w:szCs w:val="28"/>
          <w:rtl/>
        </w:rPr>
        <w:t>דייויד</w:t>
      </w:r>
      <w:proofErr w:type="spellEnd"/>
      <w:r w:rsidR="005D23C6" w:rsidRPr="001A0B66">
        <w:rPr>
          <w:rFonts w:ascii="FrankRuehl" w:hAnsi="FrankRuehl" w:cs="FrankRuehl"/>
          <w:sz w:val="28"/>
          <w:szCs w:val="28"/>
          <w:rtl/>
        </w:rPr>
        <w:t xml:space="preserve"> לובן</w:t>
      </w:r>
      <w:r w:rsidR="00F0287A" w:rsidRPr="001A0B66">
        <w:rPr>
          <w:rFonts w:ascii="FrankRuehl" w:hAnsi="FrankRuehl" w:cs="FrankRuehl"/>
          <w:sz w:val="28"/>
          <w:szCs w:val="28"/>
          <w:rtl/>
        </w:rPr>
        <w:t xml:space="preserve">, פרופסור למשפטים שהיה מהמבקרים הבולטים של הממשל האמריקאי </w:t>
      </w:r>
      <w:r w:rsidR="00520349" w:rsidRPr="001A0B66">
        <w:rPr>
          <w:rFonts w:ascii="FrankRuehl" w:hAnsi="FrankRuehl" w:cs="FrankRuehl"/>
          <w:sz w:val="28"/>
          <w:szCs w:val="28"/>
          <w:rtl/>
        </w:rPr>
        <w:t>ו</w:t>
      </w:r>
      <w:r w:rsidR="000B7DE2" w:rsidRPr="001A0B66">
        <w:rPr>
          <w:rFonts w:ascii="FrankRuehl" w:hAnsi="FrankRuehl" w:cs="FrankRuehl"/>
          <w:sz w:val="28"/>
          <w:szCs w:val="28"/>
          <w:rtl/>
        </w:rPr>
        <w:t xml:space="preserve">של </w:t>
      </w:r>
      <w:r w:rsidR="00520349" w:rsidRPr="001A0B66">
        <w:rPr>
          <w:rFonts w:ascii="FrankRuehl" w:hAnsi="FrankRuehl" w:cs="FrankRuehl"/>
          <w:sz w:val="28"/>
          <w:szCs w:val="28"/>
          <w:rtl/>
        </w:rPr>
        <w:t xml:space="preserve">עורכי הדין של הממשל </w:t>
      </w:r>
      <w:r w:rsidR="00F0287A" w:rsidRPr="001A0B66">
        <w:rPr>
          <w:rFonts w:ascii="FrankRuehl" w:hAnsi="FrankRuehl" w:cs="FrankRuehl"/>
          <w:sz w:val="28"/>
          <w:szCs w:val="28"/>
          <w:rtl/>
        </w:rPr>
        <w:t>במסגרת "המלחמה בטרור"</w:t>
      </w:r>
      <w:r w:rsidR="003E2796" w:rsidRPr="001A0B66">
        <w:rPr>
          <w:rFonts w:ascii="FrankRuehl" w:hAnsi="FrankRuehl" w:cs="FrankRuehl"/>
          <w:sz w:val="28"/>
          <w:szCs w:val="28"/>
          <w:rtl/>
        </w:rPr>
        <w:t>:</w:t>
      </w:r>
    </w:p>
    <w:p w14:paraId="4C9BED86" w14:textId="77777777" w:rsidR="005D23C6" w:rsidRPr="001A0B66" w:rsidRDefault="00096203"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lastRenderedPageBreak/>
        <w:t>"</w:t>
      </w:r>
      <w:r w:rsidR="00520349" w:rsidRPr="001A0B66">
        <w:rPr>
          <w:rFonts w:ascii="FrankRuehl" w:hAnsi="FrankRuehl" w:cs="FrankRuehl"/>
          <w:sz w:val="28"/>
          <w:szCs w:val="28"/>
          <w:rtl/>
        </w:rPr>
        <w:t xml:space="preserve">זהותם של פרקליטים צבאיים כעורכי דין מבחינה ביניהם לבין קציני צבא אחרים. [...] </w:t>
      </w:r>
      <w:r w:rsidR="003E2796" w:rsidRPr="001A0B66">
        <w:rPr>
          <w:rFonts w:ascii="FrankRuehl" w:hAnsi="FrankRuehl" w:cs="FrankRuehl"/>
          <w:sz w:val="28"/>
          <w:szCs w:val="28"/>
          <w:rtl/>
        </w:rPr>
        <w:t>בעוד ש</w:t>
      </w:r>
      <w:r w:rsidR="005D23C6" w:rsidRPr="001A0B66">
        <w:rPr>
          <w:rFonts w:ascii="FrankRuehl" w:hAnsi="FrankRuehl" w:cs="FrankRuehl"/>
          <w:sz w:val="28"/>
          <w:szCs w:val="28"/>
          <w:rtl/>
        </w:rPr>
        <w:t xml:space="preserve">פרקליטים </w:t>
      </w:r>
      <w:r w:rsidR="003E2796" w:rsidRPr="001A0B66">
        <w:rPr>
          <w:rFonts w:ascii="FrankRuehl" w:hAnsi="FrankRuehl" w:cs="FrankRuehl"/>
          <w:sz w:val="28"/>
          <w:szCs w:val="28"/>
          <w:rtl/>
        </w:rPr>
        <w:t xml:space="preserve">צבאיים רבים רואים את עצמם בגאווה כלוחמים </w:t>
      </w:r>
      <w:r w:rsidR="005D23C6" w:rsidRPr="001A0B66">
        <w:rPr>
          <w:rFonts w:ascii="FrankRuehl" w:hAnsi="FrankRuehl" w:cs="FrankRuehl"/>
          <w:sz w:val="28"/>
          <w:szCs w:val="28"/>
          <w:rtl/>
        </w:rPr>
        <w:t>וגם כעורכי דין, פסיכולוגיה בסיסית מלמדת שהזהות הכפולה שלהם עשויה לגרום להם להיות מג</w:t>
      </w:r>
      <w:r w:rsidR="003714D9" w:rsidRPr="001A0B66">
        <w:rPr>
          <w:rFonts w:ascii="FrankRuehl" w:hAnsi="FrankRuehl" w:cs="FrankRuehl"/>
          <w:sz w:val="28"/>
          <w:szCs w:val="28"/>
          <w:rtl/>
        </w:rPr>
        <w:t>י</w:t>
      </w:r>
      <w:r w:rsidR="005D23C6" w:rsidRPr="001A0B66">
        <w:rPr>
          <w:rFonts w:ascii="FrankRuehl" w:hAnsi="FrankRuehl" w:cs="FrankRuehl"/>
          <w:sz w:val="28"/>
          <w:szCs w:val="28"/>
          <w:rtl/>
        </w:rPr>
        <w:t>נים נחושים יותר, ולא פחות, מעורכי דין אזרחיים בהגנתם על ערכי שלטון החוק. בסופו של דבר, ערכים אלה ולא כישורים קרביים מהווים את הגרעין הקשה של יכולותיהם המקצועיות כקצינים.</w:t>
      </w:r>
    </w:p>
    <w:p w14:paraId="14F4074C" w14:textId="77777777" w:rsidR="00291DDB" w:rsidRPr="001A0B66" w:rsidRDefault="003E279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 xml:space="preserve">במסגרת המלחמה בטרור, בכל רמה, הסנגורים הצבאיים היו לעיתים קרובות </w:t>
      </w:r>
      <w:r w:rsidR="005D23C6" w:rsidRPr="001A0B66">
        <w:rPr>
          <w:rFonts w:ascii="FrankRuehl" w:hAnsi="FrankRuehl" w:cs="FrankRuehl"/>
          <w:sz w:val="28"/>
          <w:szCs w:val="28"/>
          <w:rtl/>
        </w:rPr>
        <w:t>מג</w:t>
      </w:r>
      <w:r w:rsidR="003714D9" w:rsidRPr="001A0B66">
        <w:rPr>
          <w:rFonts w:ascii="FrankRuehl" w:hAnsi="FrankRuehl" w:cs="FrankRuehl"/>
          <w:sz w:val="28"/>
          <w:szCs w:val="28"/>
          <w:rtl/>
        </w:rPr>
        <w:t>י</w:t>
      </w:r>
      <w:r w:rsidR="005D23C6" w:rsidRPr="001A0B66">
        <w:rPr>
          <w:rFonts w:ascii="FrankRuehl" w:hAnsi="FrankRuehl" w:cs="FrankRuehl"/>
          <w:sz w:val="28"/>
          <w:szCs w:val="28"/>
          <w:rtl/>
        </w:rPr>
        <w:t>נים עיקשים של שלטון החוק, למרבה התסכול של עורכי דין אזרחיים לוחמניים במחלקת המדינה ובבית הלבן, שראו בחוק מכשול למדיניות קשוחה.</w:t>
      </w:r>
      <w:r w:rsidR="00A96FAC" w:rsidRPr="001A0B66">
        <w:rPr>
          <w:rFonts w:ascii="FrankRuehl" w:hAnsi="FrankRuehl" w:cs="FrankRuehl"/>
          <w:sz w:val="28"/>
          <w:szCs w:val="28"/>
          <w:rtl/>
        </w:rPr>
        <w:t xml:space="preserve"> </w:t>
      </w:r>
    </w:p>
    <w:p w14:paraId="70C8AB60" w14:textId="77777777" w:rsidR="005D23C6" w:rsidRPr="001A0B66" w:rsidRDefault="005D23C6" w:rsidP="00F307FB">
      <w:pPr>
        <w:pStyle w:val="Quote"/>
        <w:spacing w:line="276" w:lineRule="auto"/>
        <w:rPr>
          <w:rFonts w:ascii="FrankRuehl" w:hAnsi="FrankRuehl" w:cs="FrankRuehl"/>
          <w:sz w:val="28"/>
          <w:szCs w:val="28"/>
          <w:rtl/>
        </w:rPr>
      </w:pPr>
      <w:r w:rsidRPr="001A0B66">
        <w:rPr>
          <w:rFonts w:ascii="FrankRuehl" w:hAnsi="FrankRuehl" w:cs="FrankRuehl"/>
          <w:sz w:val="28"/>
          <w:szCs w:val="28"/>
          <w:rtl/>
        </w:rPr>
        <w:t>[...]</w:t>
      </w:r>
    </w:p>
    <w:p w14:paraId="5D6367A0" w14:textId="77777777" w:rsidR="005D23C6" w:rsidRPr="001A0B66" w:rsidRDefault="005D23C6" w:rsidP="00F307FB">
      <w:pPr>
        <w:pStyle w:val="ListParagraph"/>
        <w:spacing w:line="276" w:lineRule="auto"/>
        <w:ind w:right="709"/>
        <w:rPr>
          <w:rStyle w:val="QuoteChar"/>
          <w:rFonts w:ascii="FrankRuehl" w:hAnsi="FrankRuehl" w:cs="FrankRuehl"/>
          <w:sz w:val="28"/>
          <w:szCs w:val="28"/>
          <w:rtl/>
        </w:rPr>
      </w:pPr>
      <w:r w:rsidRPr="001A0B66">
        <w:rPr>
          <w:rStyle w:val="QuoteChar"/>
          <w:rFonts w:ascii="FrankRuehl" w:hAnsi="FrankRuehl" w:cs="FrankRuehl"/>
          <w:sz w:val="28"/>
          <w:szCs w:val="28"/>
          <w:rtl/>
        </w:rPr>
        <w:t xml:space="preserve">בתור סנגורים, פרקליטים צבאיים </w:t>
      </w:r>
      <w:r w:rsidR="003714D9" w:rsidRPr="001A0B66">
        <w:rPr>
          <w:rStyle w:val="QuoteChar"/>
          <w:rFonts w:ascii="FrankRuehl" w:hAnsi="FrankRuehl" w:cs="FrankRuehl"/>
          <w:sz w:val="28"/>
          <w:szCs w:val="28"/>
          <w:rtl/>
        </w:rPr>
        <w:t xml:space="preserve">תופסים </w:t>
      </w:r>
      <w:r w:rsidRPr="001A0B66">
        <w:rPr>
          <w:rStyle w:val="QuoteChar"/>
          <w:rFonts w:ascii="FrankRuehl" w:hAnsi="FrankRuehl" w:cs="FrankRuehl"/>
          <w:sz w:val="28"/>
          <w:szCs w:val="28"/>
          <w:rtl/>
        </w:rPr>
        <w:t>עצמם כמג</w:t>
      </w:r>
      <w:r w:rsidR="003714D9" w:rsidRPr="001A0B66">
        <w:rPr>
          <w:rStyle w:val="QuoteChar"/>
          <w:rFonts w:ascii="FrankRuehl" w:hAnsi="FrankRuehl" w:cs="FrankRuehl"/>
          <w:sz w:val="28"/>
          <w:szCs w:val="28"/>
          <w:rtl/>
        </w:rPr>
        <w:t>י</w:t>
      </w:r>
      <w:r w:rsidRPr="001A0B66">
        <w:rPr>
          <w:rStyle w:val="QuoteChar"/>
          <w:rFonts w:ascii="FrankRuehl" w:hAnsi="FrankRuehl" w:cs="FrankRuehl"/>
          <w:sz w:val="28"/>
          <w:szCs w:val="28"/>
          <w:rtl/>
        </w:rPr>
        <w:t xml:space="preserve">נים מסורתיים ונחושים של הלקוח שלהם. זוהי למעשה הדרישה של כללי האתיקה של הפרקליטות הצבאית, שבכל </w:t>
      </w:r>
      <w:proofErr w:type="spellStart"/>
      <w:r w:rsidRPr="001A0B66">
        <w:rPr>
          <w:rStyle w:val="QuoteChar"/>
          <w:rFonts w:ascii="FrankRuehl" w:hAnsi="FrankRuehl" w:cs="FrankRuehl"/>
          <w:sz w:val="28"/>
          <w:szCs w:val="28"/>
          <w:rtl/>
        </w:rPr>
        <w:t>גירסאותיהם</w:t>
      </w:r>
      <w:proofErr w:type="spellEnd"/>
      <w:r w:rsidRPr="001A0B66">
        <w:rPr>
          <w:rStyle w:val="QuoteChar"/>
          <w:rFonts w:ascii="FrankRuehl" w:hAnsi="FrankRuehl" w:cs="FrankRuehl"/>
          <w:sz w:val="28"/>
          <w:szCs w:val="28"/>
          <w:rtl/>
        </w:rPr>
        <w:t xml:space="preserve"> דורשים נאמנות בלתי מתפשרת (</w:t>
      </w:r>
      <w:r w:rsidR="000B1A65" w:rsidRPr="001A0B66">
        <w:rPr>
          <w:rStyle w:val="QuoteChar"/>
          <w:rFonts w:ascii="FrankRuehl" w:hAnsi="FrankRuehl" w:cs="FrankRuehl"/>
          <w:sz w:val="28"/>
          <w:szCs w:val="28"/>
        </w:rPr>
        <w:t>"</w:t>
      </w:r>
      <w:r w:rsidRPr="001A0B66">
        <w:rPr>
          <w:rStyle w:val="QuoteChar"/>
          <w:rFonts w:ascii="FrankRuehl" w:hAnsi="FrankRuehl" w:cs="FrankRuehl"/>
          <w:sz w:val="28"/>
          <w:szCs w:val="28"/>
        </w:rPr>
        <w:t>unf</w:t>
      </w:r>
      <w:r w:rsidR="00F81DD8" w:rsidRPr="001A0B66">
        <w:rPr>
          <w:rStyle w:val="QuoteChar"/>
          <w:rFonts w:ascii="FrankRuehl" w:hAnsi="FrankRuehl" w:cs="FrankRuehl"/>
          <w:sz w:val="28"/>
          <w:szCs w:val="28"/>
        </w:rPr>
        <w:t>e</w:t>
      </w:r>
      <w:r w:rsidRPr="001A0B66">
        <w:rPr>
          <w:rStyle w:val="QuoteChar"/>
          <w:rFonts w:ascii="FrankRuehl" w:hAnsi="FrankRuehl" w:cs="FrankRuehl"/>
          <w:sz w:val="28"/>
          <w:szCs w:val="28"/>
        </w:rPr>
        <w:t>ttered loyalty</w:t>
      </w:r>
      <w:r w:rsidR="000B1A65" w:rsidRPr="001A0B66">
        <w:rPr>
          <w:rStyle w:val="QuoteChar"/>
          <w:rFonts w:ascii="FrankRuehl" w:hAnsi="FrankRuehl" w:cs="FrankRuehl"/>
          <w:sz w:val="28"/>
          <w:szCs w:val="28"/>
        </w:rPr>
        <w:t>"</w:t>
      </w:r>
      <w:r w:rsidRPr="001A0B66">
        <w:rPr>
          <w:rStyle w:val="QuoteChar"/>
          <w:rFonts w:ascii="FrankRuehl" w:hAnsi="FrankRuehl" w:cs="FrankRuehl"/>
          <w:sz w:val="28"/>
          <w:szCs w:val="28"/>
          <w:rtl/>
        </w:rPr>
        <w:t xml:space="preserve">) ללקוח הפרטני. </w:t>
      </w:r>
      <w:r w:rsidR="00F81DD8" w:rsidRPr="001A0B66">
        <w:rPr>
          <w:rStyle w:val="QuoteChar"/>
          <w:rFonts w:ascii="FrankRuehl" w:hAnsi="FrankRuehl" w:cs="FrankRuehl"/>
          <w:sz w:val="28"/>
          <w:szCs w:val="28"/>
          <w:rtl/>
        </w:rPr>
        <w:t xml:space="preserve">פרקליטים צבאיים הם גם קצינים בצבא המחויבים להגן על המדינה אפילו במחיר של סיכון חייהם, כפופים למשמעת </w:t>
      </w:r>
      <w:proofErr w:type="spellStart"/>
      <w:r w:rsidR="00F81DD8" w:rsidRPr="001A0B66">
        <w:rPr>
          <w:rStyle w:val="QuoteChar"/>
          <w:rFonts w:ascii="FrankRuehl" w:hAnsi="FrankRuehl" w:cs="FrankRuehl"/>
          <w:sz w:val="28"/>
          <w:szCs w:val="28"/>
          <w:rtl/>
        </w:rPr>
        <w:t>ולה</w:t>
      </w:r>
      <w:r w:rsidR="003714D9" w:rsidRPr="001A0B66">
        <w:rPr>
          <w:rStyle w:val="QuoteChar"/>
          <w:rFonts w:ascii="FrankRuehl" w:hAnsi="FrankRuehl" w:cs="FrankRuehl"/>
          <w:sz w:val="28"/>
          <w:szCs w:val="28"/>
          <w:rtl/>
        </w:rPr>
        <w:t>י</w:t>
      </w:r>
      <w:r w:rsidR="00F81DD8" w:rsidRPr="001A0B66">
        <w:rPr>
          <w:rStyle w:val="QuoteChar"/>
          <w:rFonts w:ascii="FrankRuehl" w:hAnsi="FrankRuehl" w:cs="FrankRuehl"/>
          <w:sz w:val="28"/>
          <w:szCs w:val="28"/>
          <w:rtl/>
        </w:rPr>
        <w:t>יררכי</w:t>
      </w:r>
      <w:r w:rsidR="003714D9" w:rsidRPr="001A0B66">
        <w:rPr>
          <w:rStyle w:val="QuoteChar"/>
          <w:rFonts w:ascii="FrankRuehl" w:hAnsi="FrankRuehl" w:cs="FrankRuehl"/>
          <w:sz w:val="28"/>
          <w:szCs w:val="28"/>
          <w:rtl/>
        </w:rPr>
        <w:t>י</w:t>
      </w:r>
      <w:r w:rsidR="00F81DD8" w:rsidRPr="001A0B66">
        <w:rPr>
          <w:rStyle w:val="QuoteChar"/>
          <w:rFonts w:ascii="FrankRuehl" w:hAnsi="FrankRuehl" w:cs="FrankRuehl"/>
          <w:sz w:val="28"/>
          <w:szCs w:val="28"/>
          <w:rtl/>
        </w:rPr>
        <w:t>ה</w:t>
      </w:r>
      <w:proofErr w:type="spellEnd"/>
      <w:r w:rsidR="00F81DD8" w:rsidRPr="001A0B66">
        <w:rPr>
          <w:rStyle w:val="QuoteChar"/>
          <w:rFonts w:ascii="FrankRuehl" w:hAnsi="FrankRuehl" w:cs="FrankRuehl"/>
          <w:sz w:val="28"/>
          <w:szCs w:val="28"/>
          <w:rtl/>
        </w:rPr>
        <w:t xml:space="preserve"> הצבאית וכן לחוק השיפוט הצבאי. מרבית הסניגורים הצבאיים יאמרו שבאופן רגיל הם אינם חשים בקונפליקט של נאמנות כפולה, </w:t>
      </w:r>
      <w:r w:rsidR="003714D9" w:rsidRPr="001A0B66">
        <w:rPr>
          <w:rStyle w:val="QuoteChar"/>
          <w:rFonts w:ascii="FrankRuehl" w:hAnsi="FrankRuehl" w:cs="FrankRuehl"/>
          <w:sz w:val="28"/>
          <w:szCs w:val="28"/>
          <w:rtl/>
        </w:rPr>
        <w:t xml:space="preserve">משום </w:t>
      </w:r>
      <w:r w:rsidR="00F81DD8" w:rsidRPr="001A0B66">
        <w:rPr>
          <w:rStyle w:val="QuoteChar"/>
          <w:rFonts w:ascii="FrankRuehl" w:hAnsi="FrankRuehl" w:cs="FrankRuehl"/>
          <w:sz w:val="28"/>
          <w:szCs w:val="28"/>
          <w:rtl/>
        </w:rPr>
        <w:t>שתפקידם כעורכי דין צבאיים הוא למלא את תפקידם כסנגורים; הם משרתים את הממשל (</w:t>
      </w:r>
      <w:r w:rsidR="00F81DD8" w:rsidRPr="001A0B66">
        <w:rPr>
          <w:rStyle w:val="QuoteChar"/>
          <w:rFonts w:ascii="FrankRuehl" w:hAnsi="FrankRuehl" w:cs="FrankRuehl"/>
          <w:sz w:val="28"/>
          <w:szCs w:val="28"/>
        </w:rPr>
        <w:t>government</w:t>
      </w:r>
      <w:r w:rsidR="00F81DD8" w:rsidRPr="001A0B66">
        <w:rPr>
          <w:rStyle w:val="QuoteChar"/>
          <w:rFonts w:ascii="FrankRuehl" w:hAnsi="FrankRuehl" w:cs="FrankRuehl"/>
          <w:sz w:val="28"/>
          <w:szCs w:val="28"/>
          <w:rtl/>
        </w:rPr>
        <w:t xml:space="preserve">) </w:t>
      </w:r>
      <w:r w:rsidR="003714D9" w:rsidRPr="001A0B66">
        <w:rPr>
          <w:rStyle w:val="QuoteChar"/>
          <w:rFonts w:ascii="FrankRuehl" w:hAnsi="FrankRuehl" w:cs="FrankRuehl"/>
          <w:sz w:val="28"/>
          <w:szCs w:val="28"/>
          <w:rtl/>
        </w:rPr>
        <w:t>דרך</w:t>
      </w:r>
      <w:r w:rsidR="00F81DD8" w:rsidRPr="001A0B66">
        <w:rPr>
          <w:rStyle w:val="QuoteChar"/>
          <w:rFonts w:ascii="FrankRuehl" w:hAnsi="FrankRuehl" w:cs="FrankRuehl"/>
          <w:sz w:val="28"/>
          <w:szCs w:val="28"/>
          <w:rtl/>
        </w:rPr>
        <w:t xml:space="preserve"> התנגדות ל</w:t>
      </w:r>
      <w:r w:rsidR="00096203" w:rsidRPr="001A0B66">
        <w:rPr>
          <w:rStyle w:val="QuoteChar"/>
          <w:rFonts w:ascii="FrankRuehl" w:hAnsi="FrankRuehl" w:cs="FrankRuehl"/>
          <w:sz w:val="28"/>
          <w:szCs w:val="28"/>
          <w:rtl/>
        </w:rPr>
        <w:t>'</w:t>
      </w:r>
      <w:r w:rsidR="00F81DD8" w:rsidRPr="001A0B66">
        <w:rPr>
          <w:rStyle w:val="QuoteChar"/>
          <w:rFonts w:ascii="FrankRuehl" w:hAnsi="FrankRuehl" w:cs="FrankRuehl"/>
          <w:sz w:val="28"/>
          <w:szCs w:val="28"/>
          <w:rtl/>
        </w:rPr>
        <w:t>ממשל</w:t>
      </w:r>
      <w:r w:rsidR="00096203" w:rsidRPr="001A0B66">
        <w:rPr>
          <w:rStyle w:val="QuoteChar"/>
          <w:rFonts w:ascii="FrankRuehl" w:hAnsi="FrankRuehl" w:cs="FrankRuehl"/>
          <w:sz w:val="28"/>
          <w:szCs w:val="28"/>
          <w:rtl/>
        </w:rPr>
        <w:t>'"</w:t>
      </w:r>
      <w:r w:rsidR="00F81DD8" w:rsidRPr="001A0B66">
        <w:rPr>
          <w:rStyle w:val="QuoteChar"/>
          <w:rFonts w:ascii="FrankRuehl" w:hAnsi="FrankRuehl" w:cs="FrankRuehl"/>
          <w:sz w:val="28"/>
          <w:szCs w:val="28"/>
          <w:rtl/>
        </w:rPr>
        <w:t>.</w:t>
      </w:r>
      <w:r w:rsidR="006E4D24" w:rsidRPr="001A0B66">
        <w:rPr>
          <w:rStyle w:val="FootnoteReference"/>
          <w:rFonts w:ascii="FrankRuehl" w:hAnsi="FrankRuehl" w:cs="FrankRuehl"/>
          <w:sz w:val="28"/>
          <w:szCs w:val="28"/>
          <w:rtl/>
        </w:rPr>
        <w:footnoteReference w:id="148"/>
      </w:r>
      <w:r w:rsidR="00A96FAC" w:rsidRPr="001A0B66">
        <w:rPr>
          <w:rStyle w:val="QuoteChar"/>
          <w:rFonts w:ascii="FrankRuehl" w:hAnsi="FrankRuehl" w:cs="FrankRuehl"/>
          <w:sz w:val="28"/>
          <w:szCs w:val="28"/>
          <w:rtl/>
        </w:rPr>
        <w:t xml:space="preserve"> </w:t>
      </w:r>
    </w:p>
    <w:p w14:paraId="498B58BD" w14:textId="77777777" w:rsidR="003714D9" w:rsidRPr="001A0B66" w:rsidRDefault="0012443E"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א</w:t>
      </w:r>
      <w:r w:rsidR="000867B6" w:rsidRPr="001A0B66">
        <w:rPr>
          <w:rFonts w:ascii="FrankRuehl" w:hAnsi="FrankRuehl" w:cs="FrankRuehl"/>
          <w:sz w:val="28"/>
          <w:szCs w:val="28"/>
          <w:rtl/>
        </w:rPr>
        <w:t>ו</w:t>
      </w:r>
      <w:r w:rsidRPr="001A0B66">
        <w:rPr>
          <w:rFonts w:ascii="FrankRuehl" w:hAnsi="FrankRuehl" w:cs="FrankRuehl"/>
          <w:sz w:val="28"/>
          <w:szCs w:val="28"/>
          <w:rtl/>
        </w:rPr>
        <w:t>מנם הנ</w:t>
      </w:r>
      <w:r w:rsidR="000867B6" w:rsidRPr="001A0B66">
        <w:rPr>
          <w:rFonts w:ascii="FrankRuehl" w:hAnsi="FrankRuehl" w:cs="FrankRuehl"/>
          <w:sz w:val="28"/>
          <w:szCs w:val="28"/>
          <w:rtl/>
        </w:rPr>
        <w:t>י</w:t>
      </w:r>
      <w:r w:rsidRPr="001A0B66">
        <w:rPr>
          <w:rFonts w:ascii="FrankRuehl" w:hAnsi="FrankRuehl" w:cs="FrankRuehl"/>
          <w:sz w:val="28"/>
          <w:szCs w:val="28"/>
          <w:rtl/>
        </w:rPr>
        <w:t xml:space="preserve">סיון האמריקאי אינו מקביל לזה הישראלי, אך הוא </w:t>
      </w:r>
      <w:r w:rsidR="003714D9" w:rsidRPr="001A0B66">
        <w:rPr>
          <w:rFonts w:ascii="FrankRuehl" w:hAnsi="FrankRuehl" w:cs="FrankRuehl"/>
          <w:sz w:val="28"/>
          <w:szCs w:val="28"/>
          <w:rtl/>
        </w:rPr>
        <w:t xml:space="preserve">משמש </w:t>
      </w:r>
      <w:r w:rsidRPr="001A0B66">
        <w:rPr>
          <w:rFonts w:ascii="FrankRuehl" w:hAnsi="FrankRuehl" w:cs="FrankRuehl"/>
          <w:sz w:val="28"/>
          <w:szCs w:val="28"/>
          <w:rtl/>
        </w:rPr>
        <w:t>דוגמה חיה מהעת האחרונה לייחוד שבתפקיד הסנגור, ה</w:t>
      </w:r>
      <w:r w:rsidR="00D44BF9" w:rsidRPr="001A0B66">
        <w:rPr>
          <w:rFonts w:ascii="FrankRuehl" w:hAnsi="FrankRuehl" w:cs="FrankRuehl"/>
          <w:sz w:val="28"/>
          <w:szCs w:val="28"/>
          <w:rtl/>
        </w:rPr>
        <w:t xml:space="preserve">כולל </w:t>
      </w:r>
      <w:r w:rsidRPr="001A0B66">
        <w:rPr>
          <w:rFonts w:ascii="FrankRuehl" w:hAnsi="FrankRuehl" w:cs="FrankRuehl"/>
          <w:sz w:val="28"/>
          <w:szCs w:val="28"/>
          <w:rtl/>
        </w:rPr>
        <w:t>מחויבות להגנ</w:t>
      </w:r>
      <w:r w:rsidR="00D44BF9" w:rsidRPr="001A0B66">
        <w:rPr>
          <w:rFonts w:ascii="FrankRuehl" w:hAnsi="FrankRuehl" w:cs="FrankRuehl"/>
          <w:sz w:val="28"/>
          <w:szCs w:val="28"/>
          <w:rtl/>
        </w:rPr>
        <w:t>ה</w:t>
      </w:r>
      <w:r w:rsidRPr="001A0B66">
        <w:rPr>
          <w:rFonts w:ascii="FrankRuehl" w:hAnsi="FrankRuehl" w:cs="FrankRuehl"/>
          <w:sz w:val="28"/>
          <w:szCs w:val="28"/>
          <w:rtl/>
        </w:rPr>
        <w:t xml:space="preserve"> בלתי מתפשרת </w:t>
      </w:r>
      <w:r w:rsidR="003714D9" w:rsidRPr="001A0B66">
        <w:rPr>
          <w:rFonts w:ascii="FrankRuehl" w:hAnsi="FrankRuehl" w:cs="FrankRuehl"/>
          <w:sz w:val="28"/>
          <w:szCs w:val="28"/>
          <w:rtl/>
        </w:rPr>
        <w:t xml:space="preserve">על הלקוח </w:t>
      </w:r>
      <w:r w:rsidRPr="001A0B66">
        <w:rPr>
          <w:rFonts w:ascii="FrankRuehl" w:hAnsi="FrankRuehl" w:cs="FrankRuehl"/>
          <w:sz w:val="28"/>
          <w:szCs w:val="28"/>
          <w:rtl/>
        </w:rPr>
        <w:t>ואפשרות לזכות בשל כך באמו</w:t>
      </w:r>
      <w:r w:rsidR="003714D9" w:rsidRPr="001A0B66">
        <w:rPr>
          <w:rFonts w:ascii="FrankRuehl" w:hAnsi="FrankRuehl" w:cs="FrankRuehl"/>
          <w:sz w:val="28"/>
          <w:szCs w:val="28"/>
          <w:rtl/>
        </w:rPr>
        <w:t>נו</w:t>
      </w:r>
      <w:r w:rsidRPr="001A0B66">
        <w:rPr>
          <w:rFonts w:ascii="FrankRuehl" w:hAnsi="FrankRuehl" w:cs="FrankRuehl"/>
          <w:sz w:val="28"/>
          <w:szCs w:val="28"/>
          <w:rtl/>
        </w:rPr>
        <w:t xml:space="preserve">. </w:t>
      </w:r>
      <w:r w:rsidR="009A4ABB" w:rsidRPr="001A0B66">
        <w:rPr>
          <w:rFonts w:ascii="FrankRuehl" w:hAnsi="FrankRuehl" w:cs="FrankRuehl"/>
          <w:sz w:val="28"/>
          <w:szCs w:val="28"/>
          <w:rtl/>
        </w:rPr>
        <w:t xml:space="preserve">בעוד שבשטחים הכבושים מעצר מנהלי הוא עניין שבשגרה, העצורים במחנה גואנטנמו נחשבו </w:t>
      </w:r>
      <w:r w:rsidR="00B579D7" w:rsidRPr="001A0B66">
        <w:rPr>
          <w:rFonts w:ascii="FrankRuehl" w:hAnsi="FrankRuehl" w:cs="FrankRuehl"/>
          <w:sz w:val="28"/>
          <w:szCs w:val="28"/>
          <w:rtl/>
        </w:rPr>
        <w:t xml:space="preserve">עצורים מסוג </w:t>
      </w:r>
      <w:r w:rsidR="009A4ABB" w:rsidRPr="001A0B66">
        <w:rPr>
          <w:rFonts w:ascii="FrankRuehl" w:hAnsi="FrankRuehl" w:cs="FrankRuehl"/>
          <w:sz w:val="28"/>
          <w:szCs w:val="28"/>
          <w:rtl/>
        </w:rPr>
        <w:t xml:space="preserve">חריג ביותר ומסוכנים מאוד (עד שהתברר </w:t>
      </w:r>
      <w:r w:rsidR="003714D9" w:rsidRPr="001A0B66">
        <w:rPr>
          <w:rFonts w:ascii="FrankRuehl" w:hAnsi="FrankRuehl" w:cs="FrankRuehl"/>
          <w:sz w:val="28"/>
          <w:szCs w:val="28"/>
          <w:rtl/>
        </w:rPr>
        <w:t xml:space="preserve">כי </w:t>
      </w:r>
      <w:r w:rsidR="009A4ABB" w:rsidRPr="001A0B66">
        <w:rPr>
          <w:rFonts w:ascii="FrankRuehl" w:hAnsi="FrankRuehl" w:cs="FrankRuehl"/>
          <w:sz w:val="28"/>
          <w:szCs w:val="28"/>
          <w:rtl/>
        </w:rPr>
        <w:t>רק ספורים מהם אכן היו כאלה)</w:t>
      </w:r>
      <w:r w:rsidR="003714D9" w:rsidRPr="001A0B66">
        <w:rPr>
          <w:rFonts w:ascii="FrankRuehl" w:hAnsi="FrankRuehl" w:cs="FrankRuehl"/>
          <w:sz w:val="28"/>
          <w:szCs w:val="28"/>
          <w:rtl/>
        </w:rPr>
        <w:t>,</w:t>
      </w:r>
      <w:r w:rsidR="00E92408" w:rsidRPr="001A0B66">
        <w:rPr>
          <w:rFonts w:ascii="FrankRuehl" w:hAnsi="FrankRuehl" w:cs="FrankRuehl"/>
          <w:sz w:val="28"/>
          <w:szCs w:val="28"/>
          <w:rtl/>
        </w:rPr>
        <w:t xml:space="preserve"> </w:t>
      </w:r>
      <w:r w:rsidR="003714D9" w:rsidRPr="001A0B66">
        <w:rPr>
          <w:rFonts w:ascii="FrankRuehl" w:hAnsi="FrankRuehl" w:cs="FrankRuehl"/>
          <w:sz w:val="28"/>
          <w:szCs w:val="28"/>
          <w:rtl/>
        </w:rPr>
        <w:t xml:space="preserve">ובכל זאת קיבלו על עצמם </w:t>
      </w:r>
      <w:r w:rsidR="009A4ABB" w:rsidRPr="001A0B66">
        <w:rPr>
          <w:rFonts w:ascii="FrankRuehl" w:hAnsi="FrankRuehl" w:cs="FrankRuehl"/>
          <w:sz w:val="28"/>
          <w:szCs w:val="28"/>
          <w:rtl/>
        </w:rPr>
        <w:t xml:space="preserve">סנגורים צבאיים אמריקאים את תפקיד ההגנה עליהם. </w:t>
      </w:r>
    </w:p>
    <w:p w14:paraId="01D82EEB" w14:textId="77777777" w:rsidR="00A02AC3" w:rsidRPr="001A0B66" w:rsidRDefault="0012443E"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הכיבוש הישראלי ממושך יותר </w:t>
      </w:r>
      <w:proofErr w:type="spellStart"/>
      <w:r w:rsidRPr="001A0B66">
        <w:rPr>
          <w:rFonts w:ascii="FrankRuehl" w:hAnsi="FrankRuehl" w:cs="FrankRuehl"/>
          <w:sz w:val="28"/>
          <w:szCs w:val="28"/>
          <w:rtl/>
        </w:rPr>
        <w:t>מה"מלחמה</w:t>
      </w:r>
      <w:proofErr w:type="spellEnd"/>
      <w:r w:rsidRPr="001A0B66">
        <w:rPr>
          <w:rFonts w:ascii="FrankRuehl" w:hAnsi="FrankRuehl" w:cs="FrankRuehl"/>
          <w:sz w:val="28"/>
          <w:szCs w:val="28"/>
          <w:rtl/>
        </w:rPr>
        <w:t xml:space="preserve"> בטרור" של ארצות הברית, ומקיף </w:t>
      </w:r>
      <w:r w:rsidR="00A02AC3" w:rsidRPr="001A0B66">
        <w:rPr>
          <w:rFonts w:ascii="FrankRuehl" w:hAnsi="FrankRuehl" w:cs="FrankRuehl"/>
          <w:sz w:val="28"/>
          <w:szCs w:val="28"/>
          <w:rtl/>
        </w:rPr>
        <w:t>ח</w:t>
      </w:r>
      <w:r w:rsidRPr="001A0B66">
        <w:rPr>
          <w:rFonts w:ascii="FrankRuehl" w:hAnsi="FrankRuehl" w:cs="FrankRuehl"/>
          <w:sz w:val="28"/>
          <w:szCs w:val="28"/>
          <w:rtl/>
        </w:rPr>
        <w:t xml:space="preserve">לקים </w:t>
      </w:r>
      <w:r w:rsidR="00A02AC3" w:rsidRPr="001A0B66">
        <w:rPr>
          <w:rFonts w:ascii="FrankRuehl" w:hAnsi="FrankRuehl" w:cs="FrankRuehl"/>
          <w:sz w:val="28"/>
          <w:szCs w:val="28"/>
          <w:rtl/>
        </w:rPr>
        <w:t xml:space="preserve">גדולים </w:t>
      </w:r>
      <w:r w:rsidR="004E55B0" w:rsidRPr="001A0B66">
        <w:rPr>
          <w:rFonts w:ascii="FrankRuehl" w:hAnsi="FrankRuehl" w:cs="FrankRuehl"/>
          <w:sz w:val="28"/>
          <w:szCs w:val="28"/>
          <w:rtl/>
        </w:rPr>
        <w:t xml:space="preserve">הרבה </w:t>
      </w:r>
      <w:r w:rsidR="00A02AC3" w:rsidRPr="001A0B66">
        <w:rPr>
          <w:rFonts w:ascii="FrankRuehl" w:hAnsi="FrankRuehl" w:cs="FrankRuehl"/>
          <w:sz w:val="28"/>
          <w:szCs w:val="28"/>
          <w:rtl/>
        </w:rPr>
        <w:t xml:space="preserve">יותר של חוויית החיים הפלסטינית. </w:t>
      </w:r>
      <w:r w:rsidR="003714D9" w:rsidRPr="001A0B66">
        <w:rPr>
          <w:rFonts w:ascii="FrankRuehl" w:hAnsi="FrankRuehl" w:cs="FrankRuehl"/>
          <w:sz w:val="28"/>
          <w:szCs w:val="28"/>
          <w:rtl/>
        </w:rPr>
        <w:t>מנגד</w:t>
      </w:r>
      <w:r w:rsidR="00A02AC3" w:rsidRPr="001A0B66">
        <w:rPr>
          <w:rFonts w:ascii="FrankRuehl" w:hAnsi="FrankRuehl" w:cs="FrankRuehl"/>
          <w:sz w:val="28"/>
          <w:szCs w:val="28"/>
          <w:rtl/>
        </w:rPr>
        <w:t xml:space="preserve">, התמשכותו של הכיבוש וקיומו של מיעוט פלסטיני משמעותי בתוך מדינת ישראל </w:t>
      </w:r>
      <w:r w:rsidR="003714D9" w:rsidRPr="001A0B66">
        <w:rPr>
          <w:rFonts w:ascii="FrankRuehl" w:hAnsi="FrankRuehl" w:cs="FrankRuehl"/>
          <w:sz w:val="28"/>
          <w:szCs w:val="28"/>
          <w:rtl/>
        </w:rPr>
        <w:t xml:space="preserve">מקנים </w:t>
      </w:r>
      <w:r w:rsidR="00E92408" w:rsidRPr="001A0B66">
        <w:rPr>
          <w:rFonts w:ascii="FrankRuehl" w:hAnsi="FrankRuehl" w:cs="FrankRuehl"/>
          <w:sz w:val="28"/>
          <w:szCs w:val="28"/>
          <w:rtl/>
        </w:rPr>
        <w:t>אפשרות של דיאלוג</w:t>
      </w:r>
      <w:r w:rsidR="00A02AC3" w:rsidRPr="001A0B66">
        <w:rPr>
          <w:rFonts w:ascii="FrankRuehl" w:hAnsi="FrankRuehl" w:cs="FrankRuehl"/>
          <w:sz w:val="28"/>
          <w:szCs w:val="28"/>
          <w:rtl/>
        </w:rPr>
        <w:t xml:space="preserve"> </w:t>
      </w:r>
      <w:r w:rsidR="00E92408" w:rsidRPr="001A0B66">
        <w:rPr>
          <w:rFonts w:ascii="FrankRuehl" w:hAnsi="FrankRuehl" w:cs="FrankRuehl"/>
          <w:sz w:val="28"/>
          <w:szCs w:val="28"/>
          <w:rtl/>
        </w:rPr>
        <w:t>טוב מז</w:t>
      </w:r>
      <w:r w:rsidR="003714D9" w:rsidRPr="001A0B66">
        <w:rPr>
          <w:rFonts w:ascii="FrankRuehl" w:hAnsi="FrankRuehl" w:cs="FrankRuehl"/>
          <w:sz w:val="28"/>
          <w:szCs w:val="28"/>
          <w:rtl/>
        </w:rPr>
        <w:t>ה</w:t>
      </w:r>
      <w:r w:rsidR="00A02AC3" w:rsidRPr="001A0B66">
        <w:rPr>
          <w:rFonts w:ascii="FrankRuehl" w:hAnsi="FrankRuehl" w:cs="FrankRuehl"/>
          <w:sz w:val="28"/>
          <w:szCs w:val="28"/>
          <w:rtl/>
        </w:rPr>
        <w:t xml:space="preserve"> </w:t>
      </w:r>
      <w:r w:rsidR="003714D9" w:rsidRPr="001A0B66">
        <w:rPr>
          <w:rFonts w:ascii="FrankRuehl" w:hAnsi="FrankRuehl" w:cs="FrankRuehl"/>
          <w:sz w:val="28"/>
          <w:szCs w:val="28"/>
          <w:rtl/>
        </w:rPr>
        <w:t>ה</w:t>
      </w:r>
      <w:r w:rsidR="009F7AF2" w:rsidRPr="001A0B66">
        <w:rPr>
          <w:rFonts w:ascii="FrankRuehl" w:hAnsi="FrankRuehl" w:cs="FrankRuehl"/>
          <w:sz w:val="28"/>
          <w:szCs w:val="28"/>
          <w:rtl/>
        </w:rPr>
        <w:t xml:space="preserve">מתאפשר </w:t>
      </w:r>
      <w:r w:rsidR="00A02AC3" w:rsidRPr="001A0B66">
        <w:rPr>
          <w:rFonts w:ascii="FrankRuehl" w:hAnsi="FrankRuehl" w:cs="FrankRuehl"/>
          <w:sz w:val="28"/>
          <w:szCs w:val="28"/>
          <w:rtl/>
        </w:rPr>
        <w:t>בין סנגורים אמריקאים לאזרחי עיראק</w:t>
      </w:r>
      <w:r w:rsidR="009F7AF2" w:rsidRPr="001A0B66">
        <w:rPr>
          <w:rFonts w:ascii="FrankRuehl" w:hAnsi="FrankRuehl" w:cs="FrankRuehl"/>
          <w:sz w:val="28"/>
          <w:szCs w:val="28"/>
          <w:rtl/>
        </w:rPr>
        <w:t>,</w:t>
      </w:r>
      <w:r w:rsidR="00A02AC3" w:rsidRPr="001A0B66">
        <w:rPr>
          <w:rFonts w:ascii="FrankRuehl" w:hAnsi="FrankRuehl" w:cs="FrankRuehl"/>
          <w:sz w:val="28"/>
          <w:szCs w:val="28"/>
          <w:rtl/>
        </w:rPr>
        <w:t xml:space="preserve"> תימן</w:t>
      </w:r>
      <w:r w:rsidR="00E92408" w:rsidRPr="001A0B66">
        <w:rPr>
          <w:rFonts w:ascii="FrankRuehl" w:hAnsi="FrankRuehl" w:cs="FrankRuehl"/>
          <w:sz w:val="28"/>
          <w:szCs w:val="28"/>
          <w:rtl/>
        </w:rPr>
        <w:t xml:space="preserve"> </w:t>
      </w:r>
      <w:r w:rsidR="009F7AF2" w:rsidRPr="001A0B66">
        <w:rPr>
          <w:rFonts w:ascii="FrankRuehl" w:hAnsi="FrankRuehl" w:cs="FrankRuehl"/>
          <w:sz w:val="28"/>
          <w:szCs w:val="28"/>
          <w:rtl/>
        </w:rPr>
        <w:t xml:space="preserve">וכדומה, </w:t>
      </w:r>
      <w:r w:rsidR="00E92408" w:rsidRPr="001A0B66">
        <w:rPr>
          <w:rFonts w:ascii="FrankRuehl" w:hAnsi="FrankRuehl" w:cs="FrankRuehl"/>
          <w:sz w:val="28"/>
          <w:szCs w:val="28"/>
          <w:rtl/>
        </w:rPr>
        <w:t>שחיו במדינות אלו כל חייהם</w:t>
      </w:r>
      <w:r w:rsidR="00A02AC3" w:rsidRPr="001A0B66">
        <w:rPr>
          <w:rFonts w:ascii="FrankRuehl" w:hAnsi="FrankRuehl" w:cs="FrankRuehl"/>
          <w:sz w:val="28"/>
          <w:szCs w:val="28"/>
          <w:rtl/>
        </w:rPr>
        <w:t xml:space="preserve">. </w:t>
      </w:r>
      <w:r w:rsidR="00E92408" w:rsidRPr="001A0B66">
        <w:rPr>
          <w:rFonts w:ascii="FrankRuehl" w:hAnsi="FrankRuehl" w:cs="FrankRuehl"/>
          <w:sz w:val="28"/>
          <w:szCs w:val="28"/>
          <w:rtl/>
        </w:rPr>
        <w:t>אנו סבורים ש</w:t>
      </w:r>
      <w:r w:rsidR="003714D9" w:rsidRPr="001A0B66">
        <w:rPr>
          <w:rFonts w:ascii="FrankRuehl" w:hAnsi="FrankRuehl" w:cs="FrankRuehl"/>
          <w:sz w:val="28"/>
          <w:szCs w:val="28"/>
          <w:rtl/>
        </w:rPr>
        <w:t>ה</w:t>
      </w:r>
      <w:r w:rsidR="009F7AF2" w:rsidRPr="001A0B66">
        <w:rPr>
          <w:rFonts w:ascii="FrankRuehl" w:hAnsi="FrankRuehl" w:cs="FrankRuehl"/>
          <w:sz w:val="28"/>
          <w:szCs w:val="28"/>
          <w:rtl/>
        </w:rPr>
        <w:t xml:space="preserve">מנגנון שאנו מציעים </w:t>
      </w:r>
      <w:r w:rsidR="003714D9" w:rsidRPr="001A0B66">
        <w:rPr>
          <w:rFonts w:ascii="FrankRuehl" w:hAnsi="FrankRuehl" w:cs="FrankRuehl"/>
          <w:sz w:val="28"/>
          <w:szCs w:val="28"/>
          <w:rtl/>
        </w:rPr>
        <w:t xml:space="preserve">מעניק </w:t>
      </w:r>
      <w:r w:rsidR="00E92408" w:rsidRPr="001A0B66">
        <w:rPr>
          <w:rFonts w:ascii="FrankRuehl" w:hAnsi="FrankRuehl" w:cs="FrankRuehl"/>
          <w:sz w:val="28"/>
          <w:szCs w:val="28"/>
          <w:rtl/>
        </w:rPr>
        <w:t xml:space="preserve">סיכוי טוב לא רק </w:t>
      </w:r>
      <w:r w:rsidR="003714D9" w:rsidRPr="001A0B66">
        <w:rPr>
          <w:rFonts w:ascii="FrankRuehl" w:hAnsi="FrankRuehl" w:cs="FrankRuehl"/>
          <w:sz w:val="28"/>
          <w:szCs w:val="28"/>
          <w:rtl/>
        </w:rPr>
        <w:t>ל</w:t>
      </w:r>
      <w:r w:rsidR="001B51B6" w:rsidRPr="001A0B66">
        <w:rPr>
          <w:rFonts w:ascii="FrankRuehl" w:hAnsi="FrankRuehl" w:cs="FrankRuehl"/>
          <w:sz w:val="28"/>
          <w:szCs w:val="28"/>
          <w:rtl/>
        </w:rPr>
        <w:t>מתן</w:t>
      </w:r>
      <w:r w:rsidR="003714D9" w:rsidRPr="001A0B66">
        <w:rPr>
          <w:rFonts w:ascii="FrankRuehl" w:hAnsi="FrankRuehl" w:cs="FrankRuehl"/>
          <w:sz w:val="28"/>
          <w:szCs w:val="28"/>
          <w:rtl/>
        </w:rPr>
        <w:t xml:space="preserve"> </w:t>
      </w:r>
      <w:r w:rsidR="00E92408" w:rsidRPr="001A0B66">
        <w:rPr>
          <w:rFonts w:ascii="FrankRuehl" w:hAnsi="FrankRuehl" w:cs="FrankRuehl"/>
          <w:sz w:val="28"/>
          <w:szCs w:val="28"/>
          <w:rtl/>
        </w:rPr>
        <w:t>אמון</w:t>
      </w:r>
      <w:r w:rsidR="00BC2700" w:rsidRPr="001A0B66">
        <w:rPr>
          <w:rFonts w:ascii="FrankRuehl" w:hAnsi="FrankRuehl" w:cs="FrankRuehl"/>
          <w:sz w:val="28"/>
          <w:szCs w:val="28"/>
          <w:rtl/>
        </w:rPr>
        <w:t xml:space="preserve"> </w:t>
      </w:r>
      <w:r w:rsidR="003714D9" w:rsidRPr="001A0B66">
        <w:rPr>
          <w:rFonts w:ascii="FrankRuehl" w:hAnsi="FrankRuehl" w:cs="FrankRuehl"/>
          <w:sz w:val="28"/>
          <w:szCs w:val="28"/>
          <w:rtl/>
        </w:rPr>
        <w:t>ב</w:t>
      </w:r>
      <w:r w:rsidR="00BC2700" w:rsidRPr="001A0B66">
        <w:rPr>
          <w:rFonts w:ascii="FrankRuehl" w:hAnsi="FrankRuehl" w:cs="FrankRuehl"/>
          <w:sz w:val="28"/>
          <w:szCs w:val="28"/>
          <w:rtl/>
        </w:rPr>
        <w:t>עורכי</w:t>
      </w:r>
      <w:r w:rsidR="003714D9" w:rsidRPr="001A0B66">
        <w:rPr>
          <w:rFonts w:ascii="FrankRuehl" w:hAnsi="FrankRuehl" w:cs="FrankRuehl"/>
          <w:sz w:val="28"/>
          <w:szCs w:val="28"/>
          <w:rtl/>
        </w:rPr>
        <w:t xml:space="preserve"> </w:t>
      </w:r>
      <w:r w:rsidR="00BC2700" w:rsidRPr="001A0B66">
        <w:rPr>
          <w:rFonts w:ascii="FrankRuehl" w:hAnsi="FrankRuehl" w:cs="FrankRuehl"/>
          <w:sz w:val="28"/>
          <w:szCs w:val="28"/>
          <w:rtl/>
        </w:rPr>
        <w:t>דין מיוחדים שיפעל</w:t>
      </w:r>
      <w:r w:rsidR="003714D9" w:rsidRPr="001A0B66">
        <w:rPr>
          <w:rFonts w:ascii="FrankRuehl" w:hAnsi="FrankRuehl" w:cs="FrankRuehl"/>
          <w:sz w:val="28"/>
          <w:szCs w:val="28"/>
          <w:rtl/>
        </w:rPr>
        <w:t>ו</w:t>
      </w:r>
      <w:r w:rsidR="00E92408" w:rsidRPr="001A0B66">
        <w:rPr>
          <w:rFonts w:ascii="FrankRuehl" w:hAnsi="FrankRuehl" w:cs="FrankRuehl"/>
          <w:sz w:val="28"/>
          <w:szCs w:val="28"/>
          <w:rtl/>
        </w:rPr>
        <w:t xml:space="preserve"> לטובת העצורים אלא גם להשפעה על מערכת המשפט הצבאית</w:t>
      </w:r>
      <w:r w:rsidR="003714D9" w:rsidRPr="001A0B66">
        <w:rPr>
          <w:rFonts w:ascii="FrankRuehl" w:hAnsi="FrankRuehl" w:cs="FrankRuehl"/>
          <w:sz w:val="28"/>
          <w:szCs w:val="28"/>
          <w:rtl/>
        </w:rPr>
        <w:t>,</w:t>
      </w:r>
      <w:r w:rsidR="00E92408" w:rsidRPr="001A0B66">
        <w:rPr>
          <w:rFonts w:ascii="FrankRuehl" w:hAnsi="FrankRuehl" w:cs="FrankRuehl"/>
          <w:sz w:val="28"/>
          <w:szCs w:val="28"/>
          <w:rtl/>
        </w:rPr>
        <w:t xml:space="preserve"> שתצטרך להפנים חלק מ"עלויות" ההגנה המשפטית. חשוב לציין </w:t>
      </w:r>
      <w:r w:rsidR="009F7AF2" w:rsidRPr="001A0B66">
        <w:rPr>
          <w:rFonts w:ascii="FrankRuehl" w:hAnsi="FrankRuehl" w:cs="FrankRuehl"/>
          <w:sz w:val="28"/>
          <w:szCs w:val="28"/>
          <w:rtl/>
        </w:rPr>
        <w:t xml:space="preserve">עוד </w:t>
      </w:r>
      <w:r w:rsidR="003714D9" w:rsidRPr="001A0B66">
        <w:rPr>
          <w:rFonts w:ascii="FrankRuehl" w:hAnsi="FrankRuehl" w:cs="FrankRuehl"/>
          <w:sz w:val="28"/>
          <w:szCs w:val="28"/>
          <w:rtl/>
        </w:rPr>
        <w:t xml:space="preserve">כי </w:t>
      </w:r>
      <w:r w:rsidR="00E92408" w:rsidRPr="001A0B66">
        <w:rPr>
          <w:rFonts w:ascii="FrankRuehl" w:hAnsi="FrankRuehl" w:cs="FrankRuehl"/>
          <w:sz w:val="28"/>
          <w:szCs w:val="28"/>
          <w:rtl/>
        </w:rPr>
        <w:t>מודל הסנגור המיוחד יכול לפעול גם בה</w:t>
      </w:r>
      <w:r w:rsidR="003714D9" w:rsidRPr="001A0B66">
        <w:rPr>
          <w:rFonts w:ascii="FrankRuehl" w:hAnsi="FrankRuehl" w:cs="FrankRuehl"/>
          <w:sz w:val="28"/>
          <w:szCs w:val="28"/>
          <w:rtl/>
        </w:rPr>
        <w:t>י</w:t>
      </w:r>
      <w:r w:rsidR="00E92408" w:rsidRPr="001A0B66">
        <w:rPr>
          <w:rFonts w:ascii="FrankRuehl" w:hAnsi="FrankRuehl" w:cs="FrankRuehl"/>
          <w:sz w:val="28"/>
          <w:szCs w:val="28"/>
          <w:rtl/>
        </w:rPr>
        <w:t xml:space="preserve">עדר אמון מלא, וכי </w:t>
      </w:r>
      <w:r w:rsidR="00A02AC3" w:rsidRPr="001A0B66">
        <w:rPr>
          <w:rFonts w:ascii="FrankRuehl" w:hAnsi="FrankRuehl" w:cs="FrankRuehl"/>
          <w:sz w:val="28"/>
          <w:szCs w:val="28"/>
          <w:rtl/>
        </w:rPr>
        <w:t xml:space="preserve">כל </w:t>
      </w:r>
      <w:r w:rsidR="00E92408" w:rsidRPr="001A0B66">
        <w:rPr>
          <w:rFonts w:ascii="FrankRuehl" w:hAnsi="FrankRuehl" w:cs="FrankRuehl"/>
          <w:sz w:val="28"/>
          <w:szCs w:val="28"/>
          <w:rtl/>
        </w:rPr>
        <w:t>עצור</w:t>
      </w:r>
      <w:r w:rsidR="00A02AC3" w:rsidRPr="001A0B66">
        <w:rPr>
          <w:rFonts w:ascii="FrankRuehl" w:hAnsi="FrankRuehl" w:cs="FrankRuehl"/>
          <w:sz w:val="28"/>
          <w:szCs w:val="28"/>
          <w:rtl/>
        </w:rPr>
        <w:t xml:space="preserve"> שאינו מעוניין </w:t>
      </w:r>
      <w:r w:rsidR="003714D9" w:rsidRPr="001A0B66">
        <w:rPr>
          <w:rFonts w:ascii="FrankRuehl" w:hAnsi="FrankRuehl" w:cs="FrankRuehl"/>
          <w:sz w:val="28"/>
          <w:szCs w:val="28"/>
          <w:rtl/>
        </w:rPr>
        <w:t>בייצוג ש</w:t>
      </w:r>
      <w:r w:rsidR="00A02AC3" w:rsidRPr="001A0B66">
        <w:rPr>
          <w:rFonts w:ascii="FrankRuehl" w:hAnsi="FrankRuehl" w:cs="FrankRuehl"/>
          <w:sz w:val="28"/>
          <w:szCs w:val="28"/>
          <w:rtl/>
        </w:rPr>
        <w:t>ל</w:t>
      </w:r>
      <w:r w:rsidR="003714D9" w:rsidRPr="001A0B66">
        <w:rPr>
          <w:rFonts w:ascii="FrankRuehl" w:hAnsi="FrankRuehl" w:cs="FrankRuehl"/>
          <w:sz w:val="28"/>
          <w:szCs w:val="28"/>
          <w:rtl/>
        </w:rPr>
        <w:t xml:space="preserve"> </w:t>
      </w:r>
      <w:r w:rsidR="00A02AC3" w:rsidRPr="001A0B66">
        <w:rPr>
          <w:rFonts w:ascii="FrankRuehl" w:hAnsi="FrankRuehl" w:cs="FrankRuehl"/>
          <w:sz w:val="28"/>
          <w:szCs w:val="28"/>
          <w:rtl/>
        </w:rPr>
        <w:t>סנגור מיוחד</w:t>
      </w:r>
      <w:r w:rsidR="003714D9" w:rsidRPr="001A0B66">
        <w:rPr>
          <w:rFonts w:ascii="FrankRuehl" w:hAnsi="FrankRuehl" w:cs="FrankRuehl"/>
          <w:sz w:val="28"/>
          <w:szCs w:val="28"/>
          <w:rtl/>
        </w:rPr>
        <w:t xml:space="preserve"> יכול </w:t>
      </w:r>
      <w:r w:rsidR="00B579D7" w:rsidRPr="001A0B66">
        <w:rPr>
          <w:rFonts w:ascii="FrankRuehl" w:hAnsi="FrankRuehl" w:cs="FrankRuehl"/>
          <w:sz w:val="28"/>
          <w:szCs w:val="28"/>
          <w:rtl/>
        </w:rPr>
        <w:t xml:space="preserve">(גם אם נחשוב זאת למצער) </w:t>
      </w:r>
      <w:r w:rsidR="003714D9" w:rsidRPr="001A0B66">
        <w:rPr>
          <w:rFonts w:ascii="FrankRuehl" w:hAnsi="FrankRuehl" w:cs="FrankRuehl"/>
          <w:sz w:val="28"/>
          <w:szCs w:val="28"/>
          <w:rtl/>
        </w:rPr>
        <w:t>לוותר על זכות זו</w:t>
      </w:r>
      <w:r w:rsidR="00A02AC3" w:rsidRPr="001A0B66">
        <w:rPr>
          <w:rFonts w:ascii="FrankRuehl" w:hAnsi="FrankRuehl" w:cs="FrankRuehl"/>
          <w:sz w:val="28"/>
          <w:szCs w:val="28"/>
          <w:rtl/>
        </w:rPr>
        <w:t xml:space="preserve">. </w:t>
      </w:r>
      <w:r w:rsidR="00E92408" w:rsidRPr="001A0B66">
        <w:rPr>
          <w:rFonts w:ascii="FrankRuehl" w:hAnsi="FrankRuehl" w:cs="FrankRuehl"/>
          <w:sz w:val="28"/>
          <w:szCs w:val="28"/>
          <w:rtl/>
        </w:rPr>
        <w:t>א</w:t>
      </w:r>
      <w:r w:rsidR="00D44BF9" w:rsidRPr="001A0B66">
        <w:rPr>
          <w:rFonts w:ascii="FrankRuehl" w:hAnsi="FrankRuehl" w:cs="FrankRuehl"/>
          <w:sz w:val="28"/>
          <w:szCs w:val="28"/>
          <w:rtl/>
        </w:rPr>
        <w:t>נו סבורים שהנ</w:t>
      </w:r>
      <w:r w:rsidR="000867B6" w:rsidRPr="001A0B66">
        <w:rPr>
          <w:rFonts w:ascii="FrankRuehl" w:hAnsi="FrankRuehl" w:cs="FrankRuehl"/>
          <w:sz w:val="28"/>
          <w:szCs w:val="28"/>
          <w:rtl/>
        </w:rPr>
        <w:t>י</w:t>
      </w:r>
      <w:r w:rsidR="00D44BF9" w:rsidRPr="001A0B66">
        <w:rPr>
          <w:rFonts w:ascii="FrankRuehl" w:hAnsi="FrankRuehl" w:cs="FrankRuehl"/>
          <w:sz w:val="28"/>
          <w:szCs w:val="28"/>
          <w:rtl/>
        </w:rPr>
        <w:t xml:space="preserve">סיון והמחקר מלמדים שיש </w:t>
      </w:r>
      <w:r w:rsidR="00E92408" w:rsidRPr="001A0B66">
        <w:rPr>
          <w:rFonts w:ascii="FrankRuehl" w:hAnsi="FrankRuehl" w:cs="FrankRuehl"/>
          <w:sz w:val="28"/>
          <w:szCs w:val="28"/>
          <w:rtl/>
        </w:rPr>
        <w:t>סיכוי טוב</w:t>
      </w:r>
      <w:r w:rsidR="00D44BF9" w:rsidRPr="001A0B66">
        <w:rPr>
          <w:rFonts w:ascii="FrankRuehl" w:hAnsi="FrankRuehl" w:cs="FrankRuehl"/>
          <w:sz w:val="28"/>
          <w:szCs w:val="28"/>
          <w:rtl/>
        </w:rPr>
        <w:t xml:space="preserve"> שסנגורים מיוחדים צבאיים יסייעו </w:t>
      </w:r>
      <w:r w:rsidR="00ED0C26" w:rsidRPr="001A0B66">
        <w:rPr>
          <w:rFonts w:ascii="FrankRuehl" w:hAnsi="FrankRuehl" w:cs="FrankRuehl"/>
          <w:sz w:val="28"/>
          <w:szCs w:val="28"/>
          <w:rtl/>
        </w:rPr>
        <w:t xml:space="preserve">היטב </w:t>
      </w:r>
      <w:r w:rsidR="00D44BF9" w:rsidRPr="001A0B66">
        <w:rPr>
          <w:rFonts w:ascii="FrankRuehl" w:hAnsi="FrankRuehl" w:cs="FrankRuehl"/>
          <w:sz w:val="28"/>
          <w:szCs w:val="28"/>
          <w:rtl/>
        </w:rPr>
        <w:t>בהגנה על עצורים פלסטינים</w:t>
      </w:r>
      <w:r w:rsidR="00ED0C26" w:rsidRPr="001A0B66">
        <w:rPr>
          <w:rFonts w:ascii="FrankRuehl" w:hAnsi="FrankRuehl" w:cs="FrankRuehl"/>
          <w:sz w:val="28"/>
          <w:szCs w:val="28"/>
          <w:rtl/>
        </w:rPr>
        <w:t xml:space="preserve"> </w:t>
      </w:r>
      <w:r w:rsidR="003714D9" w:rsidRPr="001A0B66">
        <w:rPr>
          <w:rFonts w:ascii="FrankRuehl" w:hAnsi="FrankRuehl" w:cs="FrankRuehl"/>
          <w:sz w:val="28"/>
          <w:szCs w:val="28"/>
          <w:rtl/>
        </w:rPr>
        <w:t xml:space="preserve">בהליכים שבהם נעשה שימוש </w:t>
      </w:r>
      <w:r w:rsidR="00ED0C26" w:rsidRPr="001A0B66">
        <w:rPr>
          <w:rFonts w:ascii="FrankRuehl" w:hAnsi="FrankRuehl" w:cs="FrankRuehl"/>
          <w:sz w:val="28"/>
          <w:szCs w:val="28"/>
          <w:rtl/>
        </w:rPr>
        <w:t>הראיות החסויות</w:t>
      </w:r>
      <w:r w:rsidR="00A02AC3" w:rsidRPr="001A0B66">
        <w:rPr>
          <w:rFonts w:ascii="FrankRuehl" w:hAnsi="FrankRuehl" w:cs="FrankRuehl"/>
          <w:sz w:val="28"/>
          <w:szCs w:val="28"/>
          <w:rtl/>
        </w:rPr>
        <w:t xml:space="preserve">. </w:t>
      </w:r>
    </w:p>
    <w:p w14:paraId="5D8CA232" w14:textId="77777777" w:rsidR="002700F0" w:rsidRPr="001A0B66" w:rsidRDefault="002700F0" w:rsidP="00F307FB">
      <w:pPr>
        <w:pStyle w:val="Heading4"/>
        <w:spacing w:line="276" w:lineRule="auto"/>
        <w:rPr>
          <w:rFonts w:ascii="FrankRuehl" w:hAnsi="FrankRuehl" w:cs="FrankRuehl"/>
          <w:sz w:val="28"/>
          <w:szCs w:val="28"/>
          <w:rtl/>
        </w:rPr>
      </w:pPr>
      <w:bookmarkStart w:id="100" w:name="_Toc52984568"/>
      <w:bookmarkStart w:id="101" w:name="_Toc53143385"/>
      <w:bookmarkStart w:id="102" w:name="_Toc53124434"/>
      <w:r w:rsidRPr="001A0B66">
        <w:rPr>
          <w:rFonts w:ascii="FrankRuehl" w:hAnsi="FrankRuehl" w:cs="FrankRuehl"/>
          <w:sz w:val="28"/>
          <w:szCs w:val="28"/>
          <w:rtl/>
        </w:rPr>
        <w:lastRenderedPageBreak/>
        <w:t>הרחבת תחולת ההסדר להליכים נוספים המערבים ראיות חסויות</w:t>
      </w:r>
      <w:bookmarkEnd w:id="100"/>
      <w:r w:rsidR="003714D9" w:rsidRPr="001A0B66">
        <w:rPr>
          <w:rFonts w:ascii="FrankRuehl" w:hAnsi="FrankRuehl" w:cs="FrankRuehl"/>
          <w:sz w:val="28"/>
          <w:szCs w:val="28"/>
          <w:rtl/>
        </w:rPr>
        <w:t xml:space="preserve"> – תחילתו של דיון</w:t>
      </w:r>
      <w:bookmarkEnd w:id="101"/>
      <w:bookmarkEnd w:id="102"/>
    </w:p>
    <w:p w14:paraId="7737342D" w14:textId="77777777" w:rsidR="008C3844" w:rsidRPr="001A0B66" w:rsidRDefault="00C5638E"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הצעת החוק הנבחנת מפרטת </w:t>
      </w:r>
      <w:r w:rsidR="000D2217" w:rsidRPr="001A0B66">
        <w:rPr>
          <w:rFonts w:ascii="FrankRuehl" w:hAnsi="FrankRuehl" w:cs="FrankRuehl"/>
          <w:sz w:val="28"/>
          <w:szCs w:val="28"/>
          <w:rtl/>
        </w:rPr>
        <w:t>רשימה</w:t>
      </w:r>
      <w:r w:rsidR="00542451" w:rsidRPr="001A0B66">
        <w:rPr>
          <w:rFonts w:ascii="FrankRuehl" w:hAnsi="FrankRuehl" w:cs="FrankRuehl"/>
          <w:sz w:val="28"/>
          <w:szCs w:val="28"/>
          <w:rtl/>
        </w:rPr>
        <w:t xml:space="preserve"> </w:t>
      </w:r>
      <w:r w:rsidR="00D11978" w:rsidRPr="001A0B66">
        <w:rPr>
          <w:rFonts w:ascii="FrankRuehl" w:hAnsi="FrankRuehl" w:cs="FrankRuehl"/>
          <w:sz w:val="28"/>
          <w:szCs w:val="28"/>
          <w:rtl/>
        </w:rPr>
        <w:t xml:space="preserve">של הליכים </w:t>
      </w:r>
      <w:r w:rsidR="00542451" w:rsidRPr="001A0B66">
        <w:rPr>
          <w:rFonts w:ascii="FrankRuehl" w:hAnsi="FrankRuehl" w:cs="FrankRuehl"/>
          <w:sz w:val="28"/>
          <w:szCs w:val="28"/>
          <w:rtl/>
        </w:rPr>
        <w:t>ש</w:t>
      </w:r>
      <w:r w:rsidR="00D11978" w:rsidRPr="001A0B66">
        <w:rPr>
          <w:rFonts w:ascii="FrankRuehl" w:hAnsi="FrankRuehl" w:cs="FrankRuehl"/>
          <w:sz w:val="28"/>
          <w:szCs w:val="28"/>
          <w:rtl/>
        </w:rPr>
        <w:t>עלי</w:t>
      </w:r>
      <w:r w:rsidR="00542451" w:rsidRPr="001A0B66">
        <w:rPr>
          <w:rFonts w:ascii="FrankRuehl" w:hAnsi="FrankRuehl" w:cs="FrankRuehl"/>
          <w:sz w:val="28"/>
          <w:szCs w:val="28"/>
          <w:rtl/>
        </w:rPr>
        <w:t xml:space="preserve">הם יחול </w:t>
      </w:r>
      <w:r w:rsidR="00D11978" w:rsidRPr="001A0B66">
        <w:rPr>
          <w:rFonts w:ascii="FrankRuehl" w:hAnsi="FrankRuehl" w:cs="FrankRuehl"/>
          <w:sz w:val="28"/>
          <w:szCs w:val="28"/>
          <w:rtl/>
        </w:rPr>
        <w:t xml:space="preserve">הסדר </w:t>
      </w:r>
      <w:r w:rsidR="00542451" w:rsidRPr="001A0B66">
        <w:rPr>
          <w:rFonts w:ascii="FrankRuehl" w:hAnsi="FrankRuehl" w:cs="FrankRuehl"/>
          <w:sz w:val="28"/>
          <w:szCs w:val="28"/>
          <w:rtl/>
        </w:rPr>
        <w:t>עורכי הדין המיוחדים</w:t>
      </w:r>
      <w:r w:rsidRPr="001A0B66">
        <w:rPr>
          <w:rFonts w:ascii="FrankRuehl" w:hAnsi="FrankRuehl" w:cs="FrankRuehl"/>
          <w:sz w:val="28"/>
          <w:szCs w:val="28"/>
          <w:rtl/>
        </w:rPr>
        <w:t>, והיא</w:t>
      </w:r>
      <w:r w:rsidR="00542451" w:rsidRPr="001A0B66">
        <w:rPr>
          <w:rFonts w:ascii="FrankRuehl" w:hAnsi="FrankRuehl" w:cs="FrankRuehl"/>
          <w:sz w:val="28"/>
          <w:szCs w:val="28"/>
          <w:rtl/>
        </w:rPr>
        <w:t xml:space="preserve"> </w:t>
      </w:r>
      <w:r w:rsidR="000D2217" w:rsidRPr="001A0B66">
        <w:rPr>
          <w:rFonts w:ascii="FrankRuehl" w:hAnsi="FrankRuehl" w:cs="FrankRuehl"/>
          <w:sz w:val="28"/>
          <w:szCs w:val="28"/>
          <w:rtl/>
        </w:rPr>
        <w:t xml:space="preserve">מנוסחת כרשימה סגורה. </w:t>
      </w:r>
      <w:r w:rsidR="001A0C8B" w:rsidRPr="001A0B66">
        <w:rPr>
          <w:rFonts w:ascii="FrankRuehl" w:hAnsi="FrankRuehl" w:cs="FrankRuehl"/>
          <w:sz w:val="28"/>
          <w:szCs w:val="28"/>
          <w:rtl/>
        </w:rPr>
        <w:t xml:space="preserve">אם זו </w:t>
      </w:r>
      <w:r w:rsidR="00542451" w:rsidRPr="001A0B66">
        <w:rPr>
          <w:rFonts w:ascii="FrankRuehl" w:hAnsi="FrankRuehl" w:cs="FrankRuehl"/>
          <w:sz w:val="28"/>
          <w:szCs w:val="28"/>
          <w:rtl/>
        </w:rPr>
        <w:t xml:space="preserve">אכן </w:t>
      </w:r>
      <w:r w:rsidR="001A0C8B" w:rsidRPr="001A0B66">
        <w:rPr>
          <w:rFonts w:ascii="FrankRuehl" w:hAnsi="FrankRuehl" w:cs="FrankRuehl"/>
          <w:sz w:val="28"/>
          <w:szCs w:val="28"/>
          <w:rtl/>
        </w:rPr>
        <w:t>כוונ</w:t>
      </w:r>
      <w:r w:rsidR="00542451" w:rsidRPr="001A0B66">
        <w:rPr>
          <w:rFonts w:ascii="FrankRuehl" w:hAnsi="FrankRuehl" w:cs="FrankRuehl"/>
          <w:sz w:val="28"/>
          <w:szCs w:val="28"/>
          <w:rtl/>
        </w:rPr>
        <w:t>ת מציעי החוק</w:t>
      </w:r>
      <w:r w:rsidR="00D11978" w:rsidRPr="001A0B66">
        <w:rPr>
          <w:rFonts w:ascii="FrankRuehl" w:hAnsi="FrankRuehl" w:cs="FrankRuehl"/>
          <w:sz w:val="28"/>
          <w:szCs w:val="28"/>
          <w:rtl/>
        </w:rPr>
        <w:t>,</w:t>
      </w:r>
      <w:r w:rsidR="001A0C8B" w:rsidRPr="001A0B66">
        <w:rPr>
          <w:rFonts w:ascii="FrankRuehl" w:hAnsi="FrankRuehl" w:cs="FrankRuehl"/>
          <w:sz w:val="28"/>
          <w:szCs w:val="28"/>
          <w:rtl/>
        </w:rPr>
        <w:t xml:space="preserve"> אנו </w:t>
      </w:r>
      <w:r w:rsidR="00F844CC" w:rsidRPr="001A0B66">
        <w:rPr>
          <w:rFonts w:ascii="FrankRuehl" w:hAnsi="FrankRuehl" w:cs="FrankRuehl"/>
          <w:sz w:val="28"/>
          <w:szCs w:val="28"/>
          <w:rtl/>
        </w:rPr>
        <w:t>מציעים אחרת</w:t>
      </w:r>
      <w:r w:rsidR="00757A19" w:rsidRPr="001A0B66">
        <w:rPr>
          <w:rFonts w:ascii="FrankRuehl" w:hAnsi="FrankRuehl" w:cs="FrankRuehl"/>
          <w:sz w:val="28"/>
          <w:szCs w:val="28"/>
          <w:rtl/>
        </w:rPr>
        <w:t>.</w:t>
      </w:r>
      <w:r w:rsidR="00D11978" w:rsidRPr="001A0B66">
        <w:rPr>
          <w:rFonts w:ascii="FrankRuehl" w:hAnsi="FrankRuehl" w:cs="FrankRuehl"/>
          <w:sz w:val="28"/>
          <w:szCs w:val="28"/>
          <w:rtl/>
        </w:rPr>
        <w:t xml:space="preserve"> </w:t>
      </w:r>
      <w:r w:rsidR="003714D9" w:rsidRPr="001A0B66">
        <w:rPr>
          <w:rFonts w:ascii="FrankRuehl" w:hAnsi="FrankRuehl" w:cs="FrankRuehl"/>
          <w:sz w:val="28"/>
          <w:szCs w:val="28"/>
          <w:rtl/>
        </w:rPr>
        <w:t xml:space="preserve">בעינינו </w:t>
      </w:r>
      <w:r w:rsidR="001A0C8B" w:rsidRPr="001A0B66">
        <w:rPr>
          <w:rFonts w:ascii="FrankRuehl" w:hAnsi="FrankRuehl" w:cs="FrankRuehl"/>
          <w:sz w:val="28"/>
          <w:szCs w:val="28"/>
          <w:rtl/>
        </w:rPr>
        <w:t xml:space="preserve">אין הצדקה </w:t>
      </w:r>
      <w:r w:rsidR="003714D9" w:rsidRPr="001A0B66">
        <w:rPr>
          <w:rFonts w:ascii="FrankRuehl" w:hAnsi="FrankRuehl" w:cs="FrankRuehl"/>
          <w:sz w:val="28"/>
          <w:szCs w:val="28"/>
          <w:rtl/>
        </w:rPr>
        <w:t>למנוע מאדם את ה</w:t>
      </w:r>
      <w:r w:rsidR="00CB0989" w:rsidRPr="001A0B66">
        <w:rPr>
          <w:rFonts w:ascii="FrankRuehl" w:hAnsi="FrankRuehl" w:cs="FrankRuehl"/>
          <w:sz w:val="28"/>
          <w:szCs w:val="28"/>
          <w:rtl/>
        </w:rPr>
        <w:t xml:space="preserve">זכות להסתייע </w:t>
      </w:r>
      <w:r w:rsidR="001A0C8B" w:rsidRPr="001A0B66">
        <w:rPr>
          <w:rFonts w:ascii="FrankRuehl" w:hAnsi="FrankRuehl" w:cs="FrankRuehl"/>
          <w:sz w:val="28"/>
          <w:szCs w:val="28"/>
          <w:rtl/>
        </w:rPr>
        <w:t>בעורך דין מיוחד ב</w:t>
      </w:r>
      <w:r w:rsidR="000D2217" w:rsidRPr="001A0B66">
        <w:rPr>
          <w:rFonts w:ascii="FrankRuehl" w:hAnsi="FrankRuehl" w:cs="FrankRuehl"/>
          <w:sz w:val="28"/>
          <w:szCs w:val="28"/>
          <w:rtl/>
        </w:rPr>
        <w:t>הליכים</w:t>
      </w:r>
      <w:r w:rsidR="008C3B29" w:rsidRPr="001A0B66">
        <w:rPr>
          <w:rFonts w:ascii="FrankRuehl" w:hAnsi="FrankRuehl" w:cs="FrankRuehl"/>
          <w:sz w:val="28"/>
          <w:szCs w:val="28"/>
          <w:rtl/>
        </w:rPr>
        <w:t xml:space="preserve"> מנהליים</w:t>
      </w:r>
      <w:r w:rsidR="006E1B35" w:rsidRPr="001A0B66">
        <w:rPr>
          <w:rFonts w:ascii="FrankRuehl" w:hAnsi="FrankRuehl" w:cs="FrankRuehl"/>
          <w:sz w:val="28"/>
          <w:szCs w:val="28"/>
          <w:rtl/>
        </w:rPr>
        <w:t xml:space="preserve"> אחרים,</w:t>
      </w:r>
      <w:r w:rsidR="000D2217" w:rsidRPr="001A0B66">
        <w:rPr>
          <w:rFonts w:ascii="FrankRuehl" w:hAnsi="FrankRuehl" w:cs="FrankRuehl"/>
          <w:sz w:val="28"/>
          <w:szCs w:val="28"/>
          <w:rtl/>
        </w:rPr>
        <w:t xml:space="preserve"> </w:t>
      </w:r>
      <w:r w:rsidR="00A24B3D" w:rsidRPr="001A0B66">
        <w:rPr>
          <w:rFonts w:ascii="FrankRuehl" w:hAnsi="FrankRuehl" w:cs="FrankRuehl"/>
          <w:sz w:val="28"/>
          <w:szCs w:val="28"/>
          <w:rtl/>
        </w:rPr>
        <w:t>רבי</w:t>
      </w:r>
      <w:r w:rsidR="003714D9" w:rsidRPr="001A0B66">
        <w:rPr>
          <w:rFonts w:ascii="FrankRuehl" w:hAnsi="FrankRuehl" w:cs="FrankRuehl"/>
          <w:sz w:val="28"/>
          <w:szCs w:val="28"/>
          <w:rtl/>
        </w:rPr>
        <w:t xml:space="preserve"> </w:t>
      </w:r>
      <w:r w:rsidR="00A24B3D" w:rsidRPr="001A0B66">
        <w:rPr>
          <w:rFonts w:ascii="FrankRuehl" w:hAnsi="FrankRuehl" w:cs="FrankRuehl"/>
          <w:sz w:val="28"/>
          <w:szCs w:val="28"/>
          <w:rtl/>
        </w:rPr>
        <w:t>השלכות</w:t>
      </w:r>
      <w:r w:rsidR="006E1B35" w:rsidRPr="001A0B66">
        <w:rPr>
          <w:rFonts w:ascii="FrankRuehl" w:hAnsi="FrankRuehl" w:cs="FrankRuehl"/>
          <w:sz w:val="28"/>
          <w:szCs w:val="28"/>
          <w:rtl/>
        </w:rPr>
        <w:t>,</w:t>
      </w:r>
      <w:r w:rsidR="00990DB7" w:rsidRPr="001A0B66">
        <w:rPr>
          <w:rFonts w:ascii="FrankRuehl" w:hAnsi="FrankRuehl" w:cs="FrankRuehl"/>
          <w:sz w:val="28"/>
          <w:szCs w:val="28"/>
          <w:rtl/>
        </w:rPr>
        <w:t xml:space="preserve"> ה</w:t>
      </w:r>
      <w:r w:rsidR="00A24B3D" w:rsidRPr="001A0B66">
        <w:rPr>
          <w:rFonts w:ascii="FrankRuehl" w:hAnsi="FrankRuehl" w:cs="FrankRuehl"/>
          <w:sz w:val="28"/>
          <w:szCs w:val="28"/>
          <w:rtl/>
        </w:rPr>
        <w:t xml:space="preserve">נשענים על ראיות חסויות. </w:t>
      </w:r>
      <w:r w:rsidR="003714D9" w:rsidRPr="001A0B66">
        <w:rPr>
          <w:rFonts w:ascii="FrankRuehl" w:hAnsi="FrankRuehl" w:cs="FrankRuehl"/>
          <w:sz w:val="28"/>
          <w:szCs w:val="28"/>
          <w:rtl/>
        </w:rPr>
        <w:t xml:space="preserve">להלן נציג </w:t>
      </w:r>
      <w:r w:rsidR="006D035B" w:rsidRPr="001A0B66">
        <w:rPr>
          <w:rFonts w:ascii="FrankRuehl" w:hAnsi="FrankRuehl" w:cs="FrankRuehl"/>
          <w:sz w:val="28"/>
          <w:szCs w:val="28"/>
          <w:rtl/>
        </w:rPr>
        <w:t xml:space="preserve">באופן ראשוני וחלקי </w:t>
      </w:r>
      <w:r w:rsidR="003714D9" w:rsidRPr="001A0B66">
        <w:rPr>
          <w:rFonts w:ascii="FrankRuehl" w:hAnsi="FrankRuehl" w:cs="FrankRuehl"/>
          <w:sz w:val="28"/>
          <w:szCs w:val="28"/>
          <w:rtl/>
        </w:rPr>
        <w:t xml:space="preserve">כמה </w:t>
      </w:r>
      <w:r w:rsidR="00A24B3D" w:rsidRPr="001A0B66">
        <w:rPr>
          <w:rFonts w:ascii="FrankRuehl" w:hAnsi="FrankRuehl" w:cs="FrankRuehl"/>
          <w:sz w:val="28"/>
          <w:szCs w:val="28"/>
          <w:rtl/>
        </w:rPr>
        <w:t xml:space="preserve">דוגמאות </w:t>
      </w:r>
      <w:r w:rsidR="003714D9" w:rsidRPr="001A0B66">
        <w:rPr>
          <w:rFonts w:ascii="FrankRuehl" w:hAnsi="FrankRuehl" w:cs="FrankRuehl"/>
          <w:sz w:val="28"/>
          <w:szCs w:val="28"/>
          <w:rtl/>
        </w:rPr>
        <w:t>להליכים כאלה</w:t>
      </w:r>
      <w:r w:rsidR="006D035B" w:rsidRPr="001A0B66">
        <w:rPr>
          <w:rFonts w:ascii="FrankRuehl" w:hAnsi="FrankRuehl" w:cs="FrankRuehl"/>
          <w:sz w:val="28"/>
          <w:szCs w:val="28"/>
          <w:rtl/>
        </w:rPr>
        <w:t>;</w:t>
      </w:r>
      <w:r w:rsidR="00462E8F" w:rsidRPr="001A0B66">
        <w:rPr>
          <w:rFonts w:ascii="FrankRuehl" w:hAnsi="FrankRuehl" w:cs="FrankRuehl"/>
          <w:sz w:val="28"/>
          <w:szCs w:val="28"/>
          <w:rtl/>
        </w:rPr>
        <w:t xml:space="preserve"> אנו מזמינים </w:t>
      </w:r>
      <w:r w:rsidR="00C84F46" w:rsidRPr="001A0B66">
        <w:rPr>
          <w:rFonts w:ascii="FrankRuehl" w:hAnsi="FrankRuehl" w:cs="FrankRuehl"/>
          <w:sz w:val="28"/>
          <w:szCs w:val="28"/>
          <w:rtl/>
        </w:rPr>
        <w:t>חוקרות ו</w:t>
      </w:r>
      <w:r w:rsidR="00462E8F" w:rsidRPr="001A0B66">
        <w:rPr>
          <w:rFonts w:ascii="FrankRuehl" w:hAnsi="FrankRuehl" w:cs="FrankRuehl"/>
          <w:sz w:val="28"/>
          <w:szCs w:val="28"/>
          <w:rtl/>
        </w:rPr>
        <w:t>חוקרים אחרים לה</w:t>
      </w:r>
      <w:r w:rsidR="00C84F46" w:rsidRPr="001A0B66">
        <w:rPr>
          <w:rFonts w:ascii="FrankRuehl" w:hAnsi="FrankRuehl" w:cs="FrankRuehl"/>
          <w:sz w:val="28"/>
          <w:szCs w:val="28"/>
          <w:rtl/>
        </w:rPr>
        <w:t xml:space="preserve">עמיק בליבון הדוגמאות הללו </w:t>
      </w:r>
      <w:r w:rsidRPr="001A0B66">
        <w:rPr>
          <w:rFonts w:ascii="FrankRuehl" w:hAnsi="FrankRuehl" w:cs="FrankRuehl"/>
          <w:sz w:val="28"/>
          <w:szCs w:val="28"/>
          <w:rtl/>
        </w:rPr>
        <w:t>(</w:t>
      </w:r>
      <w:r w:rsidR="004E55B0" w:rsidRPr="001A0B66">
        <w:rPr>
          <w:rFonts w:ascii="FrankRuehl" w:hAnsi="FrankRuehl" w:cs="FrankRuehl"/>
          <w:sz w:val="28"/>
          <w:szCs w:val="28"/>
          <w:rtl/>
        </w:rPr>
        <w:t>ודוגמאות אחרות</w:t>
      </w:r>
      <w:r w:rsidRPr="001A0B66">
        <w:rPr>
          <w:rFonts w:ascii="FrankRuehl" w:hAnsi="FrankRuehl" w:cs="FrankRuehl"/>
          <w:sz w:val="28"/>
          <w:szCs w:val="28"/>
          <w:rtl/>
        </w:rPr>
        <w:t>)</w:t>
      </w:r>
      <w:r w:rsidR="004E55B0" w:rsidRPr="001A0B66">
        <w:rPr>
          <w:rFonts w:ascii="FrankRuehl" w:hAnsi="FrankRuehl" w:cs="FrankRuehl"/>
          <w:sz w:val="28"/>
          <w:szCs w:val="28"/>
          <w:rtl/>
        </w:rPr>
        <w:t xml:space="preserve"> </w:t>
      </w:r>
      <w:r w:rsidR="00C84F46" w:rsidRPr="001A0B66">
        <w:rPr>
          <w:rFonts w:ascii="FrankRuehl" w:hAnsi="FrankRuehl" w:cs="FrankRuehl"/>
          <w:sz w:val="28"/>
          <w:szCs w:val="28"/>
          <w:rtl/>
        </w:rPr>
        <w:t>ובשאלת התאמתן למודל עורך הדין המיוחד במתווה שאותו אנו מציעים</w:t>
      </w:r>
      <w:r w:rsidR="004D1B2F" w:rsidRPr="001A0B66">
        <w:rPr>
          <w:rFonts w:ascii="FrankRuehl" w:hAnsi="FrankRuehl" w:cs="FrankRuehl"/>
          <w:sz w:val="28"/>
          <w:szCs w:val="28"/>
          <w:rtl/>
        </w:rPr>
        <w:t>.</w:t>
      </w:r>
      <w:r w:rsidRPr="001A0B66">
        <w:rPr>
          <w:rFonts w:ascii="FrankRuehl" w:hAnsi="FrankRuehl" w:cs="FrankRuehl"/>
          <w:sz w:val="28"/>
          <w:szCs w:val="28"/>
          <w:rtl/>
        </w:rPr>
        <w:t xml:space="preserve"> </w:t>
      </w:r>
    </w:p>
    <w:p w14:paraId="1BD9954A" w14:textId="77777777" w:rsidR="000D2217" w:rsidRPr="001A0B66" w:rsidRDefault="008C3844" w:rsidP="00F307FB">
      <w:pPr>
        <w:pStyle w:val="a1"/>
        <w:spacing w:line="276" w:lineRule="auto"/>
        <w:ind w:firstLine="720"/>
        <w:rPr>
          <w:rFonts w:ascii="FrankRuehl" w:hAnsi="FrankRuehl" w:cs="FrankRuehl"/>
          <w:sz w:val="28"/>
          <w:szCs w:val="28"/>
          <w:rtl/>
        </w:rPr>
      </w:pPr>
      <w:r w:rsidRPr="001A0B66">
        <w:rPr>
          <w:rFonts w:ascii="FrankRuehl" w:hAnsi="FrankRuehl" w:cs="FrankRuehl"/>
          <w:sz w:val="28"/>
          <w:szCs w:val="28"/>
          <w:rtl/>
        </w:rPr>
        <w:t xml:space="preserve">קיימים </w:t>
      </w:r>
      <w:r w:rsidR="00C5638E" w:rsidRPr="001A0B66">
        <w:rPr>
          <w:rFonts w:ascii="FrankRuehl" w:hAnsi="FrankRuehl" w:cs="FrankRuehl"/>
          <w:sz w:val="28"/>
          <w:szCs w:val="28"/>
          <w:rtl/>
        </w:rPr>
        <w:t>כמובן הבדלים בין ההליכים המנהליים השונים הנשענים על ראיות חסויות: האינטרס הביטחוני, "השלום</w:t>
      </w:r>
      <w:r w:rsidRPr="001A0B66">
        <w:rPr>
          <w:rFonts w:ascii="FrankRuehl" w:hAnsi="FrankRuehl" w:cs="FrankRuehl"/>
          <w:sz w:val="28"/>
          <w:szCs w:val="28"/>
          <w:rtl/>
        </w:rPr>
        <w:t>-</w:t>
      </w:r>
      <w:r w:rsidR="00C5638E" w:rsidRPr="001A0B66">
        <w:rPr>
          <w:rFonts w:ascii="FrankRuehl" w:hAnsi="FrankRuehl" w:cs="FrankRuehl"/>
          <w:sz w:val="28"/>
          <w:szCs w:val="28"/>
          <w:rtl/>
        </w:rPr>
        <w:t xml:space="preserve">ציבורי", </w:t>
      </w:r>
      <w:r w:rsidRPr="001A0B66">
        <w:rPr>
          <w:rFonts w:ascii="FrankRuehl" w:hAnsi="FrankRuehl" w:cs="FrankRuehl"/>
          <w:sz w:val="28"/>
          <w:szCs w:val="28"/>
          <w:rtl/>
        </w:rPr>
        <w:t xml:space="preserve">שמצדיק לכאורה את הפעלתן של הסמכויות שההליכים הללו מערבים; האינטרס שמצדיק לכאורה את הישענותם של הליכים אלו על ראיות חסויות; וכן, מנגד, </w:t>
      </w:r>
      <w:r w:rsidR="00C5638E" w:rsidRPr="001A0B66">
        <w:rPr>
          <w:rFonts w:ascii="FrankRuehl" w:hAnsi="FrankRuehl" w:cs="FrankRuehl"/>
          <w:sz w:val="28"/>
          <w:szCs w:val="28"/>
          <w:rtl/>
        </w:rPr>
        <w:t xml:space="preserve">הזכות או הזכויות הנפגעות </w:t>
      </w:r>
      <w:r w:rsidRPr="001A0B66">
        <w:rPr>
          <w:rFonts w:ascii="FrankRuehl" w:hAnsi="FrankRuehl" w:cs="FrankRuehl"/>
          <w:sz w:val="28"/>
          <w:szCs w:val="28"/>
          <w:rtl/>
        </w:rPr>
        <w:t>על ידי ההליכים הללו</w:t>
      </w:r>
      <w:r w:rsidR="008E4D29" w:rsidRPr="001A0B66">
        <w:rPr>
          <w:rFonts w:ascii="FrankRuehl" w:hAnsi="FrankRuehl" w:cs="FrankRuehl"/>
          <w:sz w:val="28"/>
          <w:szCs w:val="28"/>
          <w:rtl/>
        </w:rPr>
        <w:t>, כולל על ידי</w:t>
      </w:r>
      <w:r w:rsidRPr="001A0B66">
        <w:rPr>
          <w:rFonts w:ascii="FrankRuehl" w:hAnsi="FrankRuehl" w:cs="FrankRuehl"/>
          <w:sz w:val="28"/>
          <w:szCs w:val="28"/>
          <w:rtl/>
        </w:rPr>
        <w:t xml:space="preserve"> השימוש שנעשה בהם בראיות חסויות</w:t>
      </w:r>
      <w:r w:rsidR="008E4D29" w:rsidRPr="001A0B66">
        <w:rPr>
          <w:rFonts w:ascii="FrankRuehl" w:hAnsi="FrankRuehl" w:cs="FrankRuehl"/>
          <w:sz w:val="28"/>
          <w:szCs w:val="28"/>
          <w:rtl/>
        </w:rPr>
        <w:t>,</w:t>
      </w:r>
      <w:r w:rsidRPr="001A0B66">
        <w:rPr>
          <w:rFonts w:ascii="FrankRuehl" w:hAnsi="FrankRuehl" w:cs="FrankRuehl"/>
          <w:sz w:val="28"/>
          <w:szCs w:val="28"/>
          <w:rtl/>
        </w:rPr>
        <w:t xml:space="preserve"> </w:t>
      </w:r>
      <w:r w:rsidR="00C5638E" w:rsidRPr="001A0B66">
        <w:rPr>
          <w:rFonts w:ascii="FrankRuehl" w:hAnsi="FrankRuehl" w:cs="FrankRuehl"/>
          <w:sz w:val="28"/>
          <w:szCs w:val="28"/>
          <w:rtl/>
        </w:rPr>
        <w:t>אינ</w:t>
      </w:r>
      <w:r w:rsidRPr="001A0B66">
        <w:rPr>
          <w:rFonts w:ascii="FrankRuehl" w:hAnsi="FrankRuehl" w:cs="FrankRuehl"/>
          <w:sz w:val="28"/>
          <w:szCs w:val="28"/>
          <w:rtl/>
        </w:rPr>
        <w:t>ן</w:t>
      </w:r>
      <w:r w:rsidR="00C5638E" w:rsidRPr="001A0B66">
        <w:rPr>
          <w:rFonts w:ascii="FrankRuehl" w:hAnsi="FrankRuehl" w:cs="FrankRuehl"/>
          <w:sz w:val="28"/>
          <w:szCs w:val="28"/>
          <w:rtl/>
        </w:rPr>
        <w:t xml:space="preserve"> זה</w:t>
      </w:r>
      <w:r w:rsidRPr="001A0B66">
        <w:rPr>
          <w:rFonts w:ascii="FrankRuehl" w:hAnsi="FrankRuehl" w:cs="FrankRuehl"/>
          <w:sz w:val="28"/>
          <w:szCs w:val="28"/>
          <w:rtl/>
        </w:rPr>
        <w:t>ות, לא</w:t>
      </w:r>
      <w:r w:rsidR="00C5638E" w:rsidRPr="001A0B66">
        <w:rPr>
          <w:rFonts w:ascii="FrankRuehl" w:hAnsi="FrankRuehl" w:cs="FrankRuehl"/>
          <w:sz w:val="28"/>
          <w:szCs w:val="28"/>
          <w:rtl/>
        </w:rPr>
        <w:t xml:space="preserve"> </w:t>
      </w:r>
      <w:r w:rsidRPr="001A0B66">
        <w:rPr>
          <w:rFonts w:ascii="FrankRuehl" w:hAnsi="FrankRuehl" w:cs="FrankRuehl"/>
          <w:sz w:val="28"/>
          <w:szCs w:val="28"/>
          <w:rtl/>
        </w:rPr>
        <w:t xml:space="preserve">מצד תוכנן ולא מצד עוצמת </w:t>
      </w:r>
      <w:r w:rsidR="00C5638E" w:rsidRPr="001A0B66">
        <w:rPr>
          <w:rFonts w:ascii="FrankRuehl" w:hAnsi="FrankRuehl" w:cs="FrankRuehl"/>
          <w:sz w:val="28"/>
          <w:szCs w:val="28"/>
          <w:rtl/>
        </w:rPr>
        <w:t>הפגיעה בה</w:t>
      </w:r>
      <w:r w:rsidRPr="001A0B66">
        <w:rPr>
          <w:rFonts w:ascii="FrankRuehl" w:hAnsi="FrankRuehl" w:cs="FrankRuehl"/>
          <w:sz w:val="28"/>
          <w:szCs w:val="28"/>
          <w:rtl/>
        </w:rPr>
        <w:t xml:space="preserve">ן. </w:t>
      </w:r>
      <w:r w:rsidR="00C5638E" w:rsidRPr="001A0B66">
        <w:rPr>
          <w:rFonts w:ascii="FrankRuehl" w:hAnsi="FrankRuehl" w:cs="FrankRuehl"/>
          <w:sz w:val="28"/>
          <w:szCs w:val="28"/>
          <w:rtl/>
        </w:rPr>
        <w:t>עם זאת, הבעי</w:t>
      </w:r>
      <w:r w:rsidR="0040367B" w:rsidRPr="001A0B66">
        <w:rPr>
          <w:rFonts w:ascii="FrankRuehl" w:hAnsi="FrankRuehl" w:cs="FrankRuehl"/>
          <w:sz w:val="28"/>
          <w:szCs w:val="28"/>
          <w:rtl/>
        </w:rPr>
        <w:t>ות</w:t>
      </w:r>
      <w:r w:rsidR="00C5638E" w:rsidRPr="001A0B66">
        <w:rPr>
          <w:rFonts w:ascii="FrankRuehl" w:hAnsi="FrankRuehl" w:cs="FrankRuehl"/>
          <w:sz w:val="28"/>
          <w:szCs w:val="28"/>
          <w:rtl/>
        </w:rPr>
        <w:t xml:space="preserve"> הבסיסי</w:t>
      </w:r>
      <w:r w:rsidR="0040367B" w:rsidRPr="001A0B66">
        <w:rPr>
          <w:rFonts w:ascii="FrankRuehl" w:hAnsi="FrankRuehl" w:cs="FrankRuehl"/>
          <w:sz w:val="28"/>
          <w:szCs w:val="28"/>
          <w:rtl/>
        </w:rPr>
        <w:t>ו</w:t>
      </w:r>
      <w:r w:rsidR="00C5638E" w:rsidRPr="001A0B66">
        <w:rPr>
          <w:rFonts w:ascii="FrankRuehl" w:hAnsi="FrankRuehl" w:cs="FrankRuehl"/>
          <w:sz w:val="28"/>
          <w:szCs w:val="28"/>
          <w:rtl/>
        </w:rPr>
        <w:t>ת</w:t>
      </w:r>
      <w:r w:rsidR="00A067F5" w:rsidRPr="001A0B66">
        <w:rPr>
          <w:rFonts w:ascii="FrankRuehl" w:hAnsi="FrankRuehl" w:cs="FrankRuehl"/>
          <w:sz w:val="28"/>
          <w:szCs w:val="28"/>
          <w:rtl/>
        </w:rPr>
        <w:t xml:space="preserve"> של העדר הליך הוגן, דיון ממצה והגנה אפקטיבית</w:t>
      </w:r>
      <w:r w:rsidR="00C5638E" w:rsidRPr="001A0B66">
        <w:rPr>
          <w:rFonts w:ascii="FrankRuehl" w:hAnsi="FrankRuehl" w:cs="FrankRuehl"/>
          <w:sz w:val="28"/>
          <w:szCs w:val="28"/>
          <w:rtl/>
        </w:rPr>
        <w:t xml:space="preserve"> </w:t>
      </w:r>
      <w:r w:rsidRPr="001A0B66">
        <w:rPr>
          <w:rFonts w:ascii="FrankRuehl" w:hAnsi="FrankRuehl" w:cs="FrankRuehl"/>
          <w:sz w:val="28"/>
          <w:szCs w:val="28"/>
          <w:rtl/>
        </w:rPr>
        <w:t>דומ</w:t>
      </w:r>
      <w:r w:rsidR="00E94228">
        <w:rPr>
          <w:rFonts w:ascii="FrankRuehl" w:hAnsi="FrankRuehl" w:cs="FrankRuehl"/>
          <w:sz w:val="28"/>
          <w:szCs w:val="28"/>
          <w:rtl/>
        </w:rPr>
        <w:t>ות</w:t>
      </w:r>
      <w:r w:rsidRPr="001A0B66">
        <w:rPr>
          <w:rFonts w:ascii="FrankRuehl" w:hAnsi="FrankRuehl" w:cs="FrankRuehl"/>
          <w:sz w:val="28"/>
          <w:szCs w:val="28"/>
          <w:rtl/>
        </w:rPr>
        <w:t xml:space="preserve"> ל</w:t>
      </w:r>
      <w:r w:rsidR="00E94228">
        <w:rPr>
          <w:rFonts w:ascii="FrankRuehl" w:hAnsi="FrankRuehl" w:cs="FrankRuehl"/>
          <w:sz w:val="28"/>
          <w:szCs w:val="28"/>
          <w:rtl/>
        </w:rPr>
        <w:t>אלו</w:t>
      </w:r>
      <w:r w:rsidRPr="001A0B66">
        <w:rPr>
          <w:rFonts w:ascii="FrankRuehl" w:hAnsi="FrankRuehl" w:cs="FrankRuehl"/>
          <w:sz w:val="28"/>
          <w:szCs w:val="28"/>
          <w:rtl/>
        </w:rPr>
        <w:t xml:space="preserve"> המתעורר</w:t>
      </w:r>
      <w:r w:rsidR="00E94228">
        <w:rPr>
          <w:rFonts w:ascii="FrankRuehl" w:hAnsi="FrankRuehl" w:cs="FrankRuehl"/>
          <w:sz w:val="28"/>
          <w:szCs w:val="28"/>
          <w:rtl/>
        </w:rPr>
        <w:t>ו</w:t>
      </w:r>
      <w:r w:rsidRPr="001A0B66">
        <w:rPr>
          <w:rFonts w:ascii="FrankRuehl" w:hAnsi="FrankRuehl" w:cs="FrankRuehl"/>
          <w:sz w:val="28"/>
          <w:szCs w:val="28"/>
          <w:rtl/>
        </w:rPr>
        <w:t xml:space="preserve">ת במעצר </w:t>
      </w:r>
      <w:proofErr w:type="spellStart"/>
      <w:r w:rsidRPr="001A0B66">
        <w:rPr>
          <w:rFonts w:ascii="FrankRuehl" w:hAnsi="FrankRuehl" w:cs="FrankRuehl"/>
          <w:sz w:val="28"/>
          <w:szCs w:val="28"/>
          <w:rtl/>
        </w:rPr>
        <w:t>המינהלי</w:t>
      </w:r>
      <w:proofErr w:type="spellEnd"/>
      <w:r w:rsidRPr="001A0B66">
        <w:rPr>
          <w:rFonts w:ascii="FrankRuehl" w:hAnsi="FrankRuehl" w:cs="FrankRuehl"/>
          <w:sz w:val="28"/>
          <w:szCs w:val="28"/>
          <w:rtl/>
        </w:rPr>
        <w:t xml:space="preserve"> ובסמכויות חירום מובהקות אחרות,</w:t>
      </w:r>
      <w:r w:rsidR="00C5638E" w:rsidRPr="001A0B66">
        <w:rPr>
          <w:rFonts w:ascii="FrankRuehl" w:hAnsi="FrankRuehl" w:cs="FrankRuehl"/>
          <w:sz w:val="28"/>
          <w:szCs w:val="28"/>
          <w:rtl/>
        </w:rPr>
        <w:t xml:space="preserve"> ו</w:t>
      </w:r>
      <w:r w:rsidRPr="001A0B66">
        <w:rPr>
          <w:rFonts w:ascii="FrankRuehl" w:hAnsi="FrankRuehl" w:cs="FrankRuehl"/>
          <w:sz w:val="28"/>
          <w:szCs w:val="28"/>
          <w:rtl/>
        </w:rPr>
        <w:t>דמיון זה הוא שמצדיק</w:t>
      </w:r>
      <w:r w:rsidR="00C5638E" w:rsidRPr="001A0B66">
        <w:rPr>
          <w:rFonts w:ascii="FrankRuehl" w:hAnsi="FrankRuehl" w:cs="FrankRuehl"/>
          <w:sz w:val="28"/>
          <w:szCs w:val="28"/>
          <w:rtl/>
        </w:rPr>
        <w:t xml:space="preserve"> </w:t>
      </w:r>
      <w:r w:rsidRPr="001A0B66">
        <w:rPr>
          <w:rFonts w:ascii="FrankRuehl" w:hAnsi="FrankRuehl" w:cs="FrankRuehl"/>
          <w:sz w:val="28"/>
          <w:szCs w:val="28"/>
          <w:rtl/>
        </w:rPr>
        <w:t>התמודדות באמצעות מודל דומה</w:t>
      </w:r>
      <w:r w:rsidR="008E4D29" w:rsidRPr="001A0B66">
        <w:rPr>
          <w:rFonts w:ascii="FrankRuehl" w:hAnsi="FrankRuehl" w:cs="FrankRuehl"/>
          <w:sz w:val="28"/>
          <w:szCs w:val="28"/>
          <w:rtl/>
        </w:rPr>
        <w:t xml:space="preserve"> – </w:t>
      </w:r>
      <w:r w:rsidRPr="001A0B66">
        <w:rPr>
          <w:rFonts w:ascii="FrankRuehl" w:hAnsi="FrankRuehl" w:cs="FrankRuehl"/>
          <w:sz w:val="28"/>
          <w:szCs w:val="28"/>
          <w:rtl/>
        </w:rPr>
        <w:t>זה של עורכי הדין המיוחדים.</w:t>
      </w:r>
    </w:p>
    <w:p w14:paraId="054103F0" w14:textId="77777777" w:rsidR="000D2217" w:rsidRPr="001A0B66" w:rsidRDefault="000D2217" w:rsidP="00F307FB">
      <w:pPr>
        <w:pStyle w:val="a1"/>
        <w:spacing w:line="276" w:lineRule="auto"/>
        <w:rPr>
          <w:rFonts w:ascii="FrankRuehl" w:hAnsi="FrankRuehl" w:cs="FrankRuehl"/>
          <w:sz w:val="28"/>
          <w:szCs w:val="28"/>
        </w:rPr>
      </w:pPr>
      <w:r w:rsidRPr="001A0B66">
        <w:rPr>
          <w:rFonts w:ascii="FrankRuehl" w:hAnsi="FrankRuehl" w:cs="FrankRuehl"/>
          <w:b/>
          <w:bCs/>
          <w:sz w:val="28"/>
          <w:szCs w:val="28"/>
          <w:rtl/>
        </w:rPr>
        <w:t>הליכי איחוד משפחות</w:t>
      </w:r>
      <w:r w:rsidR="001A0C8B" w:rsidRPr="001A0B66">
        <w:rPr>
          <w:rFonts w:ascii="FrankRuehl" w:hAnsi="FrankRuehl" w:cs="FrankRuehl"/>
          <w:sz w:val="28"/>
          <w:szCs w:val="28"/>
          <w:rtl/>
        </w:rPr>
        <w:t xml:space="preserve"> בין בני זוג ובין הורה וילדו הקטין</w:t>
      </w:r>
      <w:r w:rsidR="00E94228">
        <w:rPr>
          <w:rFonts w:ascii="FrankRuehl" w:hAnsi="FrankRuehl" w:cs="FrankRuehl"/>
          <w:sz w:val="28"/>
          <w:szCs w:val="28"/>
          <w:rtl/>
        </w:rPr>
        <w:t>.</w:t>
      </w:r>
      <w:r w:rsidR="00B82D4F" w:rsidRPr="001A0B66">
        <w:rPr>
          <w:rFonts w:ascii="FrankRuehl" w:hAnsi="FrankRuehl" w:cs="FrankRuehl"/>
          <w:sz w:val="28"/>
          <w:szCs w:val="28"/>
          <w:rtl/>
        </w:rPr>
        <w:t xml:space="preserve"> מדובר ב</w:t>
      </w:r>
      <w:r w:rsidR="00542451" w:rsidRPr="001A0B66">
        <w:rPr>
          <w:rFonts w:ascii="FrankRuehl" w:hAnsi="FrankRuehl" w:cs="FrankRuehl"/>
          <w:sz w:val="28"/>
          <w:szCs w:val="28"/>
          <w:rtl/>
        </w:rPr>
        <w:t>קשרי המשפח</w:t>
      </w:r>
      <w:r w:rsidR="00DA0FA1" w:rsidRPr="001A0B66">
        <w:rPr>
          <w:rFonts w:ascii="FrankRuehl" w:hAnsi="FrankRuehl" w:cs="FrankRuehl"/>
          <w:sz w:val="28"/>
          <w:szCs w:val="28"/>
          <w:rtl/>
        </w:rPr>
        <w:t>ה</w:t>
      </w:r>
      <w:r w:rsidR="00542451" w:rsidRPr="001A0B66">
        <w:rPr>
          <w:rFonts w:ascii="FrankRuehl" w:hAnsi="FrankRuehl" w:cs="FrankRuehl"/>
          <w:sz w:val="28"/>
          <w:szCs w:val="28"/>
          <w:rtl/>
        </w:rPr>
        <w:t xml:space="preserve"> העמוקים ביותר של </w:t>
      </w:r>
      <w:r w:rsidR="00B82D4F" w:rsidRPr="001A0B66">
        <w:rPr>
          <w:rFonts w:ascii="FrankRuehl" w:hAnsi="FrankRuehl" w:cs="FrankRuehl"/>
          <w:sz w:val="28"/>
          <w:szCs w:val="28"/>
          <w:rtl/>
        </w:rPr>
        <w:t>אדם, והחוק הישראלי</w:t>
      </w:r>
      <w:r w:rsidR="00C84F46" w:rsidRPr="001A0B66">
        <w:rPr>
          <w:rFonts w:ascii="FrankRuehl" w:hAnsi="FrankRuehl" w:cs="FrankRuehl"/>
          <w:sz w:val="28"/>
          <w:szCs w:val="28"/>
          <w:rtl/>
        </w:rPr>
        <w:t xml:space="preserve"> – חוק האזרחות והכניסה לישראל (הוראת שעה), </w:t>
      </w:r>
      <w:proofErr w:type="spellStart"/>
      <w:r w:rsidR="00BF3CB3" w:rsidRPr="001A0B66">
        <w:rPr>
          <w:rFonts w:ascii="FrankRuehl" w:hAnsi="FrankRuehl" w:cs="FrankRuehl"/>
          <w:sz w:val="28"/>
          <w:szCs w:val="28"/>
          <w:rtl/>
        </w:rPr>
        <w:t>ה</w:t>
      </w:r>
      <w:r w:rsidR="00C84F46" w:rsidRPr="001A0B66">
        <w:rPr>
          <w:rFonts w:ascii="FrankRuehl" w:hAnsi="FrankRuehl" w:cs="FrankRuehl"/>
          <w:sz w:val="28"/>
          <w:szCs w:val="28"/>
          <w:rtl/>
        </w:rPr>
        <w:t>תשס"ג</w:t>
      </w:r>
      <w:proofErr w:type="spellEnd"/>
      <w:r w:rsidR="00DA0FA1" w:rsidRPr="001A0B66">
        <w:rPr>
          <w:rFonts w:ascii="FrankRuehl" w:hAnsi="FrankRuehl" w:cs="FrankRuehl"/>
          <w:sz w:val="28"/>
          <w:szCs w:val="28"/>
          <w:rtl/>
        </w:rPr>
        <w:t>–</w:t>
      </w:r>
      <w:r w:rsidR="00C84F46" w:rsidRPr="001A0B66">
        <w:rPr>
          <w:rFonts w:ascii="FrankRuehl" w:hAnsi="FrankRuehl" w:cs="FrankRuehl"/>
          <w:sz w:val="28"/>
          <w:szCs w:val="28"/>
          <w:rtl/>
        </w:rPr>
        <w:t>2003</w:t>
      </w:r>
      <w:r w:rsidR="00B319D4" w:rsidRPr="001A0B66">
        <w:rPr>
          <w:rFonts w:ascii="FrankRuehl" w:hAnsi="FrankRuehl" w:cs="FrankRuehl"/>
          <w:sz w:val="28"/>
          <w:szCs w:val="28"/>
          <w:rtl/>
        </w:rPr>
        <w:t xml:space="preserve"> (להלן: "חוק האזרחות והכניסה לישראל")</w:t>
      </w:r>
      <w:r w:rsidR="00E94228">
        <w:rPr>
          <w:rFonts w:ascii="FrankRuehl" w:hAnsi="FrankRuehl" w:cs="FrankRuehl"/>
          <w:sz w:val="28"/>
          <w:szCs w:val="28"/>
          <w:rtl/>
        </w:rPr>
        <w:t xml:space="preserve"> – </w:t>
      </w:r>
      <w:r w:rsidR="00A465B8" w:rsidRPr="001A0B66">
        <w:rPr>
          <w:rFonts w:ascii="FrankRuehl" w:hAnsi="FrankRuehl" w:cs="FrankRuehl"/>
          <w:sz w:val="28"/>
          <w:szCs w:val="28"/>
          <w:rtl/>
        </w:rPr>
        <w:t>מגביל אותם מאד</w:t>
      </w:r>
      <w:r w:rsidR="00B82D4F" w:rsidRPr="001A0B66">
        <w:rPr>
          <w:rFonts w:ascii="FrankRuehl" w:hAnsi="FrankRuehl" w:cs="FrankRuehl"/>
          <w:sz w:val="28"/>
          <w:szCs w:val="28"/>
          <w:rtl/>
        </w:rPr>
        <w:t xml:space="preserve"> </w:t>
      </w:r>
      <w:r w:rsidR="00542451" w:rsidRPr="001A0B66">
        <w:rPr>
          <w:rFonts w:ascii="FrankRuehl" w:hAnsi="FrankRuehl" w:cs="FrankRuehl"/>
          <w:sz w:val="28"/>
          <w:szCs w:val="28"/>
          <w:rtl/>
        </w:rPr>
        <w:t>כאשר בת</w:t>
      </w:r>
      <w:r w:rsidR="006D035B" w:rsidRPr="001A0B66">
        <w:rPr>
          <w:rFonts w:ascii="FrankRuehl" w:hAnsi="FrankRuehl" w:cs="FrankRuehl"/>
          <w:sz w:val="28"/>
          <w:szCs w:val="28"/>
          <w:rtl/>
        </w:rPr>
        <w:t xml:space="preserve"> </w:t>
      </w:r>
      <w:r w:rsidR="00DA0FA1" w:rsidRPr="001A0B66">
        <w:rPr>
          <w:rFonts w:ascii="FrankRuehl" w:hAnsi="FrankRuehl" w:cs="FrankRuehl"/>
          <w:sz w:val="28"/>
          <w:szCs w:val="28"/>
          <w:rtl/>
        </w:rPr>
        <w:t>ה</w:t>
      </w:r>
      <w:r w:rsidR="006D035B" w:rsidRPr="001A0B66">
        <w:rPr>
          <w:rFonts w:ascii="FrankRuehl" w:hAnsi="FrankRuehl" w:cs="FrankRuehl"/>
          <w:sz w:val="28"/>
          <w:szCs w:val="28"/>
          <w:rtl/>
        </w:rPr>
        <w:t xml:space="preserve">זוג או </w:t>
      </w:r>
      <w:r w:rsidR="00542451" w:rsidRPr="001A0B66">
        <w:rPr>
          <w:rFonts w:ascii="FrankRuehl" w:hAnsi="FrankRuehl" w:cs="FrankRuehl"/>
          <w:sz w:val="28"/>
          <w:szCs w:val="28"/>
          <w:rtl/>
        </w:rPr>
        <w:t xml:space="preserve">בן </w:t>
      </w:r>
      <w:r w:rsidR="00DA0FA1" w:rsidRPr="001A0B66">
        <w:rPr>
          <w:rFonts w:ascii="FrankRuehl" w:hAnsi="FrankRuehl" w:cs="FrankRuehl"/>
          <w:sz w:val="28"/>
          <w:szCs w:val="28"/>
          <w:rtl/>
        </w:rPr>
        <w:t>ה</w:t>
      </w:r>
      <w:r w:rsidR="00542451" w:rsidRPr="001A0B66">
        <w:rPr>
          <w:rFonts w:ascii="FrankRuehl" w:hAnsi="FrankRuehl" w:cs="FrankRuehl"/>
          <w:sz w:val="28"/>
          <w:szCs w:val="28"/>
          <w:rtl/>
        </w:rPr>
        <w:t>זוג</w:t>
      </w:r>
      <w:r w:rsidR="00DA0FA1" w:rsidRPr="001A0B66">
        <w:rPr>
          <w:rFonts w:ascii="FrankRuehl" w:hAnsi="FrankRuehl" w:cs="FrankRuehl"/>
          <w:sz w:val="28"/>
          <w:szCs w:val="28"/>
          <w:rtl/>
        </w:rPr>
        <w:t xml:space="preserve"> של אזרח או תושב ישראל</w:t>
      </w:r>
      <w:r w:rsidR="00542451" w:rsidRPr="001A0B66">
        <w:rPr>
          <w:rFonts w:ascii="FrankRuehl" w:hAnsi="FrankRuehl" w:cs="FrankRuehl"/>
          <w:sz w:val="28"/>
          <w:szCs w:val="28"/>
          <w:rtl/>
        </w:rPr>
        <w:t xml:space="preserve"> </w:t>
      </w:r>
      <w:r w:rsidR="00462E8F" w:rsidRPr="001A0B66">
        <w:rPr>
          <w:rFonts w:ascii="FrankRuehl" w:hAnsi="FrankRuehl" w:cs="FrankRuehl"/>
          <w:sz w:val="28"/>
          <w:szCs w:val="28"/>
          <w:rtl/>
        </w:rPr>
        <w:t>הם</w:t>
      </w:r>
      <w:r w:rsidR="00542451" w:rsidRPr="001A0B66">
        <w:rPr>
          <w:rFonts w:ascii="FrankRuehl" w:hAnsi="FrankRuehl" w:cs="FrankRuehl"/>
          <w:sz w:val="28"/>
          <w:szCs w:val="28"/>
          <w:rtl/>
        </w:rPr>
        <w:t xml:space="preserve"> מהשטחים</w:t>
      </w:r>
      <w:r w:rsidR="00F71B1D" w:rsidRPr="001A0B66">
        <w:rPr>
          <w:rFonts w:ascii="FrankRuehl" w:hAnsi="FrankRuehl" w:cs="FrankRuehl"/>
          <w:sz w:val="28"/>
          <w:szCs w:val="28"/>
          <w:rtl/>
        </w:rPr>
        <w:t xml:space="preserve"> או </w:t>
      </w:r>
      <w:r w:rsidR="00462E8F" w:rsidRPr="001A0B66">
        <w:rPr>
          <w:rFonts w:ascii="FrankRuehl" w:hAnsi="FrankRuehl" w:cs="FrankRuehl"/>
          <w:sz w:val="28"/>
          <w:szCs w:val="28"/>
          <w:rtl/>
        </w:rPr>
        <w:t>מ</w:t>
      </w:r>
      <w:r w:rsidR="00F71B1D" w:rsidRPr="001A0B66">
        <w:rPr>
          <w:rFonts w:ascii="FrankRuehl" w:hAnsi="FrankRuehl" w:cs="FrankRuehl"/>
          <w:sz w:val="28"/>
          <w:szCs w:val="28"/>
          <w:rtl/>
        </w:rPr>
        <w:t>מדינות אחרות המופיעות ב</w:t>
      </w:r>
      <w:r w:rsidR="00887FF6" w:rsidRPr="001A0B66">
        <w:rPr>
          <w:rFonts w:ascii="FrankRuehl" w:hAnsi="FrankRuehl" w:cs="FrankRuehl"/>
          <w:sz w:val="28"/>
          <w:szCs w:val="28"/>
          <w:rtl/>
        </w:rPr>
        <w:t>תוספת לחוק</w:t>
      </w:r>
      <w:r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149"/>
      </w:r>
      <w:r w:rsidRPr="001A0B66">
        <w:rPr>
          <w:rFonts w:ascii="FrankRuehl" w:hAnsi="FrankRuehl" w:cs="FrankRuehl"/>
          <w:sz w:val="28"/>
          <w:szCs w:val="28"/>
          <w:rtl/>
        </w:rPr>
        <w:t xml:space="preserve"> </w:t>
      </w:r>
      <w:r w:rsidR="00542451" w:rsidRPr="001A0B66">
        <w:rPr>
          <w:rFonts w:ascii="FrankRuehl" w:hAnsi="FrankRuehl" w:cs="FrankRuehl"/>
          <w:sz w:val="28"/>
          <w:szCs w:val="28"/>
          <w:rtl/>
        </w:rPr>
        <w:t xml:space="preserve">בהליכים מעין אלה נעשה </w:t>
      </w:r>
      <w:r w:rsidRPr="001A0B66">
        <w:rPr>
          <w:rFonts w:ascii="FrankRuehl" w:hAnsi="FrankRuehl" w:cs="FrankRuehl"/>
          <w:sz w:val="28"/>
          <w:szCs w:val="28"/>
          <w:rtl/>
        </w:rPr>
        <w:t>לע</w:t>
      </w:r>
      <w:r w:rsidR="00DA0FA1" w:rsidRPr="001A0B66">
        <w:rPr>
          <w:rFonts w:ascii="FrankRuehl" w:hAnsi="FrankRuehl" w:cs="FrankRuehl"/>
          <w:sz w:val="28"/>
          <w:szCs w:val="28"/>
          <w:rtl/>
        </w:rPr>
        <w:t>י</w:t>
      </w:r>
      <w:r w:rsidRPr="001A0B66">
        <w:rPr>
          <w:rFonts w:ascii="FrankRuehl" w:hAnsi="FrankRuehl" w:cs="FrankRuehl"/>
          <w:sz w:val="28"/>
          <w:szCs w:val="28"/>
          <w:rtl/>
        </w:rPr>
        <w:t>תים שימוש בראיות חסויות.</w:t>
      </w:r>
      <w:r w:rsidR="00730914" w:rsidRPr="001A0B66">
        <w:rPr>
          <w:rStyle w:val="FootnoteReference"/>
          <w:rFonts w:ascii="FrankRuehl" w:hAnsi="FrankRuehl" w:cs="FrankRuehl"/>
          <w:sz w:val="28"/>
          <w:szCs w:val="28"/>
          <w:rtl/>
        </w:rPr>
        <w:footnoteReference w:id="150"/>
      </w:r>
      <w:r w:rsidRPr="001A0B66">
        <w:rPr>
          <w:rFonts w:ascii="FrankRuehl" w:hAnsi="FrankRuehl" w:cs="FrankRuehl"/>
          <w:sz w:val="28"/>
          <w:szCs w:val="28"/>
          <w:rtl/>
        </w:rPr>
        <w:t xml:space="preserve"> </w:t>
      </w:r>
    </w:p>
    <w:p w14:paraId="2A40CFAD" w14:textId="77777777" w:rsidR="0002032E" w:rsidRPr="001A0B66" w:rsidRDefault="00B519B6" w:rsidP="00F307FB">
      <w:pPr>
        <w:pStyle w:val="a1"/>
        <w:spacing w:line="276" w:lineRule="auto"/>
        <w:rPr>
          <w:rFonts w:ascii="FrankRuehl" w:hAnsi="FrankRuehl" w:cs="FrankRuehl"/>
          <w:sz w:val="28"/>
          <w:szCs w:val="28"/>
        </w:rPr>
      </w:pPr>
      <w:r w:rsidRPr="001A0B66">
        <w:rPr>
          <w:rFonts w:ascii="FrankRuehl" w:hAnsi="FrankRuehl" w:cs="FrankRuehl"/>
          <w:b/>
          <w:bCs/>
          <w:sz w:val="28"/>
          <w:szCs w:val="28"/>
          <w:rtl/>
        </w:rPr>
        <w:t>שלילת אזרחות</w:t>
      </w:r>
      <w:r w:rsidR="00D11978" w:rsidRPr="001A0B66">
        <w:rPr>
          <w:rFonts w:ascii="FrankRuehl" w:hAnsi="FrankRuehl" w:cs="FrankRuehl"/>
          <w:b/>
          <w:bCs/>
          <w:sz w:val="28"/>
          <w:szCs w:val="28"/>
          <w:rtl/>
        </w:rPr>
        <w:t xml:space="preserve"> </w:t>
      </w:r>
      <w:r w:rsidRPr="001A0B66">
        <w:rPr>
          <w:rFonts w:ascii="FrankRuehl" w:hAnsi="FrankRuehl" w:cs="FrankRuehl"/>
          <w:sz w:val="28"/>
          <w:szCs w:val="28"/>
          <w:rtl/>
        </w:rPr>
        <w:t>לפי</w:t>
      </w:r>
      <w:r w:rsidR="00D11978" w:rsidRPr="001A0B66">
        <w:rPr>
          <w:rFonts w:ascii="FrankRuehl" w:hAnsi="FrankRuehl" w:cs="FrankRuehl"/>
          <w:sz w:val="28"/>
          <w:szCs w:val="28"/>
          <w:rtl/>
        </w:rPr>
        <w:t xml:space="preserve"> </w:t>
      </w:r>
      <w:r w:rsidRPr="001A0B66">
        <w:rPr>
          <w:rFonts w:ascii="FrankRuehl" w:hAnsi="FrankRuehl" w:cs="FrankRuehl"/>
          <w:sz w:val="28"/>
          <w:szCs w:val="28"/>
          <w:rtl/>
        </w:rPr>
        <w:t>סעיף 11(ה) לחוק האזרחות</w:t>
      </w:r>
      <w:r w:rsidR="00757A19" w:rsidRPr="001A0B66">
        <w:rPr>
          <w:rFonts w:ascii="FrankRuehl" w:hAnsi="FrankRuehl" w:cs="FrankRuehl"/>
          <w:sz w:val="28"/>
          <w:szCs w:val="28"/>
          <w:rtl/>
        </w:rPr>
        <w:t xml:space="preserve">, </w:t>
      </w:r>
      <w:proofErr w:type="spellStart"/>
      <w:r w:rsidR="00757A19" w:rsidRPr="001A0B66">
        <w:rPr>
          <w:rFonts w:ascii="FrankRuehl" w:hAnsi="FrankRuehl" w:cs="FrankRuehl"/>
          <w:sz w:val="28"/>
          <w:szCs w:val="28"/>
          <w:rtl/>
        </w:rPr>
        <w:t>התשי"ב</w:t>
      </w:r>
      <w:proofErr w:type="spellEnd"/>
      <w:r w:rsidR="001A7EF3" w:rsidRPr="001A0B66">
        <w:rPr>
          <w:rFonts w:ascii="FrankRuehl" w:hAnsi="FrankRuehl" w:cs="FrankRuehl"/>
          <w:sz w:val="28"/>
          <w:szCs w:val="28"/>
          <w:rtl/>
        </w:rPr>
        <w:t>–</w:t>
      </w:r>
      <w:r w:rsidRPr="001A0B66">
        <w:rPr>
          <w:rFonts w:ascii="FrankRuehl" w:hAnsi="FrankRuehl" w:cs="FrankRuehl"/>
          <w:sz w:val="28"/>
          <w:szCs w:val="28"/>
          <w:rtl/>
        </w:rPr>
        <w:t>1952</w:t>
      </w:r>
      <w:r w:rsidR="00B319D4" w:rsidRPr="001A0B66">
        <w:rPr>
          <w:rFonts w:ascii="FrankRuehl" w:hAnsi="FrankRuehl" w:cs="FrankRuehl"/>
          <w:sz w:val="28"/>
          <w:szCs w:val="28"/>
          <w:rtl/>
        </w:rPr>
        <w:t xml:space="preserve"> (להלן: "חוק האזרחות")</w:t>
      </w:r>
      <w:r w:rsidR="00E94228">
        <w:rPr>
          <w:rFonts w:ascii="FrankRuehl" w:hAnsi="FrankRuehl" w:cs="FrankRuehl"/>
          <w:sz w:val="28"/>
          <w:szCs w:val="28"/>
          <w:rtl/>
        </w:rPr>
        <w:t>.</w:t>
      </w:r>
      <w:r w:rsidR="00A24B3D" w:rsidRPr="001A0B66">
        <w:rPr>
          <w:rFonts w:ascii="FrankRuehl" w:hAnsi="FrankRuehl" w:cs="FrankRuehl"/>
          <w:sz w:val="28"/>
          <w:szCs w:val="28"/>
          <w:rtl/>
        </w:rPr>
        <w:t xml:space="preserve"> מדובר בסמכות הנתונה לבית משפט לשלול אזרחות של אדם, על </w:t>
      </w:r>
      <w:r w:rsidR="001A0C8B" w:rsidRPr="001A0B66">
        <w:rPr>
          <w:rFonts w:ascii="FrankRuehl" w:hAnsi="FrankRuehl" w:cs="FrankRuehl"/>
          <w:sz w:val="28"/>
          <w:szCs w:val="28"/>
          <w:rtl/>
        </w:rPr>
        <w:t xml:space="preserve">יסוד בקשה של שר </w:t>
      </w:r>
      <w:r w:rsidR="00A62BD0" w:rsidRPr="001A0B66">
        <w:rPr>
          <w:rFonts w:ascii="FrankRuehl" w:hAnsi="FrankRuehl" w:cs="FrankRuehl"/>
          <w:sz w:val="28"/>
          <w:szCs w:val="28"/>
          <w:rtl/>
        </w:rPr>
        <w:t xml:space="preserve">הפנים </w:t>
      </w:r>
      <w:r w:rsidR="001A7EF3" w:rsidRPr="001A0B66">
        <w:rPr>
          <w:rFonts w:ascii="FrankRuehl" w:hAnsi="FrankRuehl" w:cs="FrankRuehl"/>
          <w:sz w:val="28"/>
          <w:szCs w:val="28"/>
          <w:rtl/>
        </w:rPr>
        <w:t>ו</w:t>
      </w:r>
      <w:r w:rsidR="00A24B3D" w:rsidRPr="001A0B66">
        <w:rPr>
          <w:rFonts w:ascii="FrankRuehl" w:hAnsi="FrankRuehl" w:cs="FrankRuehl"/>
          <w:sz w:val="28"/>
          <w:szCs w:val="28"/>
          <w:rtl/>
        </w:rPr>
        <w:t>בהסכמתו בכתב של היוע</w:t>
      </w:r>
      <w:r w:rsidR="001A7EF3" w:rsidRPr="001A0B66">
        <w:rPr>
          <w:rFonts w:ascii="FrankRuehl" w:hAnsi="FrankRuehl" w:cs="FrankRuehl"/>
          <w:sz w:val="28"/>
          <w:szCs w:val="28"/>
          <w:rtl/>
        </w:rPr>
        <w:t>ץ המשפטי לממשלה</w:t>
      </w:r>
      <w:r w:rsidR="00A24B3D" w:rsidRPr="001A0B66">
        <w:rPr>
          <w:rFonts w:ascii="FrankRuehl" w:hAnsi="FrankRuehl" w:cs="FrankRuehl"/>
          <w:sz w:val="28"/>
          <w:szCs w:val="28"/>
          <w:rtl/>
        </w:rPr>
        <w:t>,</w:t>
      </w:r>
      <w:r w:rsidR="00B82D4F" w:rsidRPr="001A0B66">
        <w:rPr>
          <w:rFonts w:ascii="FrankRuehl" w:hAnsi="FrankRuehl" w:cs="FrankRuehl"/>
          <w:sz w:val="28"/>
          <w:szCs w:val="28"/>
          <w:rtl/>
        </w:rPr>
        <w:t xml:space="preserve"> אם </w:t>
      </w:r>
      <w:r w:rsidR="00A24B3D" w:rsidRPr="001A0B66">
        <w:rPr>
          <w:rFonts w:ascii="FrankRuehl" w:hAnsi="FrankRuehl" w:cs="FrankRuehl"/>
          <w:sz w:val="28"/>
          <w:szCs w:val="28"/>
          <w:rtl/>
        </w:rPr>
        <w:t xml:space="preserve">האדם </w:t>
      </w:r>
      <w:r w:rsidR="00B55995" w:rsidRPr="001A0B66">
        <w:rPr>
          <w:rFonts w:ascii="FrankRuehl" w:hAnsi="FrankRuehl" w:cs="FrankRuehl"/>
          <w:sz w:val="28"/>
          <w:szCs w:val="28"/>
          <w:rtl/>
        </w:rPr>
        <w:t>הורשע</w:t>
      </w:r>
      <w:r w:rsidRPr="001A0B66">
        <w:rPr>
          <w:rFonts w:ascii="FrankRuehl" w:hAnsi="FrankRuehl" w:cs="FrankRuehl"/>
          <w:sz w:val="28"/>
          <w:szCs w:val="28"/>
          <w:rtl/>
        </w:rPr>
        <w:t xml:space="preserve"> ב</w:t>
      </w:r>
      <w:r w:rsidR="00B55995" w:rsidRPr="001A0B66">
        <w:rPr>
          <w:rFonts w:ascii="FrankRuehl" w:hAnsi="FrankRuehl" w:cs="FrankRuehl"/>
          <w:sz w:val="28"/>
          <w:szCs w:val="28"/>
          <w:rtl/>
        </w:rPr>
        <w:t>"</w:t>
      </w:r>
      <w:r w:rsidRPr="001A0B66">
        <w:rPr>
          <w:rFonts w:ascii="FrankRuehl" w:hAnsi="FrankRuehl" w:cs="FrankRuehl"/>
          <w:sz w:val="28"/>
          <w:szCs w:val="28"/>
          <w:rtl/>
        </w:rPr>
        <w:t>מעשה טרור</w:t>
      </w:r>
      <w:r w:rsidR="00B55995" w:rsidRPr="001A0B66">
        <w:rPr>
          <w:rFonts w:ascii="FrankRuehl" w:hAnsi="FrankRuehl" w:cs="FrankRuehl"/>
          <w:sz w:val="28"/>
          <w:szCs w:val="28"/>
          <w:rtl/>
        </w:rPr>
        <w:t>"</w:t>
      </w:r>
      <w:r w:rsidRPr="001A0B66">
        <w:rPr>
          <w:rFonts w:ascii="FrankRuehl" w:hAnsi="FrankRuehl" w:cs="FrankRuehl"/>
          <w:sz w:val="28"/>
          <w:szCs w:val="28"/>
          <w:rtl/>
        </w:rPr>
        <w:t xml:space="preserve"> </w:t>
      </w:r>
      <w:r w:rsidR="002F69F7" w:rsidRPr="001A0B66">
        <w:rPr>
          <w:rFonts w:ascii="FrankRuehl" w:hAnsi="FrankRuehl" w:cs="FrankRuehl"/>
          <w:sz w:val="28"/>
          <w:szCs w:val="28"/>
          <w:rtl/>
        </w:rPr>
        <w:t>או</w:t>
      </w:r>
      <w:r w:rsidR="00B55995" w:rsidRPr="001A0B66">
        <w:rPr>
          <w:rFonts w:ascii="FrankRuehl" w:hAnsi="FrankRuehl" w:cs="FrankRuehl"/>
          <w:sz w:val="28"/>
          <w:szCs w:val="28"/>
          <w:rtl/>
        </w:rPr>
        <w:t xml:space="preserve"> </w:t>
      </w:r>
      <w:r w:rsidR="002F69F7" w:rsidRPr="001A0B66">
        <w:rPr>
          <w:rFonts w:ascii="FrankRuehl" w:hAnsi="FrankRuehl" w:cs="FrankRuehl"/>
          <w:sz w:val="28"/>
          <w:szCs w:val="28"/>
          <w:rtl/>
        </w:rPr>
        <w:t>ב</w:t>
      </w:r>
      <w:r w:rsidR="00B55995" w:rsidRPr="001A0B66">
        <w:rPr>
          <w:rFonts w:ascii="FrankRuehl" w:hAnsi="FrankRuehl" w:cs="FrankRuehl"/>
          <w:sz w:val="28"/>
          <w:szCs w:val="28"/>
          <w:rtl/>
        </w:rPr>
        <w:t>"</w:t>
      </w:r>
      <w:r w:rsidRPr="001A0B66">
        <w:rPr>
          <w:rFonts w:ascii="FrankRuehl" w:hAnsi="FrankRuehl" w:cs="FrankRuehl"/>
          <w:sz w:val="28"/>
          <w:szCs w:val="28"/>
          <w:rtl/>
        </w:rPr>
        <w:t>בגידה</w:t>
      </w:r>
      <w:r w:rsidR="00B55995" w:rsidRPr="001A0B66">
        <w:rPr>
          <w:rFonts w:ascii="FrankRuehl" w:hAnsi="FrankRuehl" w:cs="FrankRuehl"/>
          <w:sz w:val="28"/>
          <w:szCs w:val="28"/>
          <w:rtl/>
        </w:rPr>
        <w:t>"</w:t>
      </w:r>
      <w:r w:rsidRPr="001A0B66">
        <w:rPr>
          <w:rFonts w:ascii="FrankRuehl" w:hAnsi="FrankRuehl" w:cs="FrankRuehl"/>
          <w:sz w:val="28"/>
          <w:szCs w:val="28"/>
          <w:rtl/>
        </w:rPr>
        <w:t xml:space="preserve"> לפי סעיפים</w:t>
      </w:r>
      <w:r w:rsidR="00C84F46" w:rsidRPr="001A0B66">
        <w:rPr>
          <w:rFonts w:ascii="FrankRuehl" w:hAnsi="FrankRuehl" w:cs="FrankRuehl"/>
          <w:sz w:val="28"/>
          <w:szCs w:val="28"/>
          <w:rtl/>
        </w:rPr>
        <w:t xml:space="preserve"> 9</w:t>
      </w:r>
      <w:r w:rsidR="001A7EF3" w:rsidRPr="001A0B66">
        <w:rPr>
          <w:rFonts w:ascii="FrankRuehl" w:hAnsi="FrankRuehl" w:cs="FrankRuehl"/>
          <w:sz w:val="28"/>
          <w:szCs w:val="28"/>
          <w:rtl/>
        </w:rPr>
        <w:t>7–</w:t>
      </w:r>
      <w:r w:rsidR="00C84F46" w:rsidRPr="001A0B66">
        <w:rPr>
          <w:rFonts w:ascii="FrankRuehl" w:hAnsi="FrankRuehl" w:cs="FrankRuehl"/>
          <w:sz w:val="28"/>
          <w:szCs w:val="28"/>
          <w:rtl/>
        </w:rPr>
        <w:t>9</w:t>
      </w:r>
      <w:r w:rsidR="001A7EF3" w:rsidRPr="001A0B66">
        <w:rPr>
          <w:rFonts w:ascii="FrankRuehl" w:hAnsi="FrankRuehl" w:cs="FrankRuehl"/>
          <w:sz w:val="28"/>
          <w:szCs w:val="28"/>
          <w:rtl/>
        </w:rPr>
        <w:t>9</w:t>
      </w:r>
      <w:r w:rsidR="00C84F46" w:rsidRPr="001A0B66">
        <w:rPr>
          <w:rFonts w:ascii="FrankRuehl" w:hAnsi="FrankRuehl" w:cs="FrankRuehl"/>
          <w:sz w:val="28"/>
          <w:szCs w:val="28"/>
          <w:rtl/>
        </w:rPr>
        <w:t xml:space="preserve"> </w:t>
      </w:r>
      <w:r w:rsidRPr="001A0B66">
        <w:rPr>
          <w:rFonts w:ascii="FrankRuehl" w:hAnsi="FrankRuehl" w:cs="FrankRuehl"/>
          <w:sz w:val="28"/>
          <w:szCs w:val="28"/>
          <w:rtl/>
        </w:rPr>
        <w:t xml:space="preserve">לחוק העונשין או </w:t>
      </w:r>
      <w:r w:rsidR="002C1885" w:rsidRPr="001A0B66">
        <w:rPr>
          <w:rFonts w:ascii="FrankRuehl" w:hAnsi="FrankRuehl" w:cs="FrankRuehl"/>
          <w:sz w:val="28"/>
          <w:szCs w:val="28"/>
          <w:rtl/>
        </w:rPr>
        <w:t xml:space="preserve">אם </w:t>
      </w:r>
      <w:r w:rsidR="00B55995" w:rsidRPr="001A0B66">
        <w:rPr>
          <w:rFonts w:ascii="FrankRuehl" w:hAnsi="FrankRuehl" w:cs="FrankRuehl"/>
          <w:sz w:val="28"/>
          <w:szCs w:val="28"/>
          <w:rtl/>
        </w:rPr>
        <w:t>רכש</w:t>
      </w:r>
      <w:r w:rsidRPr="001A0B66">
        <w:rPr>
          <w:rFonts w:ascii="FrankRuehl" w:hAnsi="FrankRuehl" w:cs="FrankRuehl"/>
          <w:sz w:val="28"/>
          <w:szCs w:val="28"/>
          <w:rtl/>
        </w:rPr>
        <w:t xml:space="preserve"> אזרחות במדינת אויב</w:t>
      </w:r>
      <w:r w:rsidR="00B55995" w:rsidRPr="001A0B66">
        <w:rPr>
          <w:rFonts w:ascii="FrankRuehl" w:hAnsi="FrankRuehl" w:cs="FrankRuehl"/>
          <w:sz w:val="28"/>
          <w:szCs w:val="28"/>
          <w:rtl/>
        </w:rPr>
        <w:t xml:space="preserve">. </w:t>
      </w:r>
      <w:r w:rsidR="00B82D4F" w:rsidRPr="001A0B66">
        <w:rPr>
          <w:rFonts w:ascii="FrankRuehl" w:hAnsi="FrankRuehl" w:cs="FrankRuehl"/>
          <w:sz w:val="28"/>
          <w:szCs w:val="28"/>
          <w:rtl/>
        </w:rPr>
        <w:t xml:space="preserve">גם </w:t>
      </w:r>
      <w:r w:rsidR="001A7EF3" w:rsidRPr="001A0B66">
        <w:rPr>
          <w:rFonts w:ascii="FrankRuehl" w:hAnsi="FrankRuehl" w:cs="FrankRuehl"/>
          <w:sz w:val="28"/>
          <w:szCs w:val="28"/>
          <w:rtl/>
        </w:rPr>
        <w:t>בהליך זה אפשר להשתמש</w:t>
      </w:r>
      <w:r w:rsidR="00B82D4F" w:rsidRPr="001A0B66">
        <w:rPr>
          <w:rFonts w:ascii="FrankRuehl" w:hAnsi="FrankRuehl" w:cs="FrankRuehl"/>
          <w:sz w:val="28"/>
          <w:szCs w:val="28"/>
          <w:rtl/>
        </w:rPr>
        <w:t xml:space="preserve"> בראיות חסויות.</w:t>
      </w:r>
    </w:p>
    <w:p w14:paraId="136BF040" w14:textId="77777777" w:rsidR="006E1B35" w:rsidRPr="001A0B66" w:rsidRDefault="00FE3066" w:rsidP="00F307FB">
      <w:pPr>
        <w:pStyle w:val="a1"/>
        <w:spacing w:line="276" w:lineRule="auto"/>
        <w:rPr>
          <w:rFonts w:ascii="FrankRuehl" w:hAnsi="FrankRuehl" w:cs="FrankRuehl"/>
          <w:sz w:val="28"/>
          <w:szCs w:val="28"/>
          <w:rtl/>
        </w:rPr>
      </w:pPr>
      <w:r w:rsidRPr="001A0B66">
        <w:rPr>
          <w:rFonts w:ascii="FrankRuehl" w:hAnsi="FrankRuehl" w:cs="FrankRuehl"/>
          <w:b/>
          <w:bCs/>
          <w:sz w:val="28"/>
          <w:szCs w:val="28"/>
          <w:rtl/>
        </w:rPr>
        <w:t>שלילת תושבות</w:t>
      </w:r>
      <w:r w:rsidRPr="001A0B66">
        <w:rPr>
          <w:rFonts w:ascii="FrankRuehl" w:hAnsi="FrankRuehl" w:cs="FrankRuehl"/>
          <w:sz w:val="28"/>
          <w:szCs w:val="28"/>
          <w:rtl/>
        </w:rPr>
        <w:t xml:space="preserve"> </w:t>
      </w:r>
      <w:r w:rsidRPr="001A0B66">
        <w:rPr>
          <w:rFonts w:ascii="FrankRuehl" w:hAnsi="FrankRuehl" w:cs="FrankRuehl"/>
          <w:b/>
          <w:bCs/>
          <w:sz w:val="28"/>
          <w:szCs w:val="28"/>
          <w:rtl/>
        </w:rPr>
        <w:t>ושלילת אשרות שהייה</w:t>
      </w:r>
      <w:r w:rsidR="00E94228">
        <w:rPr>
          <w:rFonts w:ascii="FrankRuehl" w:hAnsi="FrankRuehl" w:cs="FrankRuehl"/>
          <w:b/>
          <w:bCs/>
          <w:sz w:val="28"/>
          <w:szCs w:val="28"/>
          <w:rtl/>
        </w:rPr>
        <w:t>.</w:t>
      </w:r>
      <w:r w:rsidR="00DC5CB4" w:rsidRPr="001A0B66">
        <w:rPr>
          <w:rFonts w:ascii="FrankRuehl" w:hAnsi="FrankRuehl" w:cs="FrankRuehl"/>
          <w:sz w:val="28"/>
          <w:szCs w:val="28"/>
          <w:rtl/>
        </w:rPr>
        <w:t xml:space="preserve"> </w:t>
      </w:r>
      <w:r w:rsidRPr="001A0B66">
        <w:rPr>
          <w:rFonts w:ascii="FrankRuehl" w:hAnsi="FrankRuehl" w:cs="FrankRuehl"/>
          <w:sz w:val="28"/>
          <w:szCs w:val="28"/>
          <w:rtl/>
        </w:rPr>
        <w:t xml:space="preserve">חוק הכניסה לישראל, </w:t>
      </w:r>
      <w:r w:rsidR="00BF3CB3" w:rsidRPr="001A0B66">
        <w:rPr>
          <w:rFonts w:ascii="FrankRuehl" w:hAnsi="FrankRuehl" w:cs="FrankRuehl"/>
          <w:sz w:val="28"/>
          <w:szCs w:val="28"/>
          <w:rtl/>
        </w:rPr>
        <w:t>ה</w:t>
      </w:r>
      <w:r w:rsidRPr="001A0B66">
        <w:rPr>
          <w:rFonts w:ascii="FrankRuehl" w:hAnsi="FrankRuehl" w:cs="FrankRuehl"/>
          <w:sz w:val="28"/>
          <w:szCs w:val="28"/>
          <w:rtl/>
        </w:rPr>
        <w:t xml:space="preserve">תשי"ב-1952 </w:t>
      </w:r>
      <w:r w:rsidR="003D30CF" w:rsidRPr="001A0B66">
        <w:rPr>
          <w:rFonts w:ascii="FrankRuehl" w:hAnsi="FrankRuehl" w:cs="FrankRuehl"/>
          <w:sz w:val="28"/>
          <w:szCs w:val="28"/>
          <w:rtl/>
        </w:rPr>
        <w:t xml:space="preserve">(להלן: "חוק הכניסה לישראל") </w:t>
      </w:r>
      <w:r w:rsidRPr="001A0B66">
        <w:rPr>
          <w:rFonts w:ascii="FrankRuehl" w:hAnsi="FrankRuehl" w:cs="FrankRuehl"/>
          <w:sz w:val="28"/>
          <w:szCs w:val="28"/>
          <w:rtl/>
        </w:rPr>
        <w:t>מקנה לשר הפנים סמכות רחבה לבטל אשרת שהייה או רישיון ישיבה.</w:t>
      </w:r>
      <w:r w:rsidRPr="001A0B66">
        <w:rPr>
          <w:rStyle w:val="FootnoteReference"/>
          <w:rFonts w:ascii="FrankRuehl" w:hAnsi="FrankRuehl" w:cs="FrankRuehl"/>
          <w:sz w:val="28"/>
          <w:szCs w:val="28"/>
          <w:rtl/>
        </w:rPr>
        <w:footnoteReference w:id="151"/>
      </w:r>
      <w:r w:rsidRPr="001A0B66">
        <w:rPr>
          <w:rFonts w:ascii="FrankRuehl" w:hAnsi="FrankRuehl" w:cs="FrankRuehl"/>
          <w:sz w:val="28"/>
          <w:szCs w:val="28"/>
          <w:rtl/>
        </w:rPr>
        <w:t xml:space="preserve"> סמכות זו</w:t>
      </w:r>
      <w:r w:rsidR="009A6851" w:rsidRPr="001A0B66">
        <w:rPr>
          <w:rFonts w:ascii="FrankRuehl" w:hAnsi="FrankRuehl" w:cs="FrankRuehl"/>
          <w:sz w:val="28"/>
          <w:szCs w:val="28"/>
          <w:rtl/>
        </w:rPr>
        <w:t xml:space="preserve"> </w:t>
      </w:r>
      <w:r w:rsidR="00F401C6" w:rsidRPr="001A0B66">
        <w:rPr>
          <w:rFonts w:ascii="FrankRuehl" w:hAnsi="FrankRuehl" w:cs="FrankRuehl"/>
          <w:sz w:val="28"/>
          <w:szCs w:val="28"/>
          <w:rtl/>
        </w:rPr>
        <w:t>הורחבה לאחרונה בתיקון משנת 2018 ו</w:t>
      </w:r>
      <w:r w:rsidRPr="001A0B66">
        <w:rPr>
          <w:rFonts w:ascii="FrankRuehl" w:hAnsi="FrankRuehl" w:cs="FrankRuehl"/>
          <w:sz w:val="28"/>
          <w:szCs w:val="28"/>
          <w:rtl/>
        </w:rPr>
        <w:t>כוללת את האפשרות לשלול מאדם תושבות קבע בישראל אם השר קבע שהפר אמונים למדינת ישראל</w:t>
      </w:r>
      <w:r w:rsidR="001A7EF3" w:rsidRPr="001A0B66">
        <w:rPr>
          <w:rFonts w:ascii="FrankRuehl" w:hAnsi="FrankRuehl" w:cs="FrankRuehl"/>
          <w:sz w:val="28"/>
          <w:szCs w:val="28"/>
          <w:rtl/>
        </w:rPr>
        <w:t>,</w:t>
      </w:r>
      <w:r w:rsidRPr="001A0B66">
        <w:rPr>
          <w:rFonts w:ascii="FrankRuehl" w:hAnsi="FrankRuehl" w:cs="FrankRuehl"/>
          <w:sz w:val="28"/>
          <w:szCs w:val="28"/>
          <w:rtl/>
        </w:rPr>
        <w:t xml:space="preserve"> לאחר ש</w:t>
      </w:r>
      <w:r w:rsidR="001A7EF3" w:rsidRPr="001A0B66">
        <w:rPr>
          <w:rFonts w:ascii="FrankRuehl" w:hAnsi="FrankRuehl" w:cs="FrankRuehl"/>
          <w:sz w:val="28"/>
          <w:szCs w:val="28"/>
          <w:rtl/>
        </w:rPr>
        <w:t xml:space="preserve">אותו אדם </w:t>
      </w:r>
      <w:r w:rsidRPr="001A0B66">
        <w:rPr>
          <w:rFonts w:ascii="FrankRuehl" w:hAnsi="FrankRuehl" w:cs="FrankRuehl"/>
          <w:sz w:val="28"/>
          <w:szCs w:val="28"/>
          <w:rtl/>
        </w:rPr>
        <w:t>הורשע בעבירות בגידה, ריגול חמור או מעשה טרור כפי שהוגדר בחוק למאבק בטרור, התשע"ו-2016.</w:t>
      </w:r>
      <w:r w:rsidRPr="001A0B66">
        <w:rPr>
          <w:rStyle w:val="FootnoteReference"/>
          <w:rFonts w:ascii="FrankRuehl" w:hAnsi="FrankRuehl" w:cs="FrankRuehl"/>
          <w:sz w:val="28"/>
          <w:szCs w:val="28"/>
          <w:rtl/>
        </w:rPr>
        <w:footnoteReference w:id="152"/>
      </w:r>
      <w:r w:rsidRPr="001A0B66">
        <w:rPr>
          <w:rFonts w:ascii="FrankRuehl" w:hAnsi="FrankRuehl" w:cs="FrankRuehl"/>
          <w:sz w:val="28"/>
          <w:szCs w:val="28"/>
          <w:rtl/>
        </w:rPr>
        <w:t xml:space="preserve"> סמכות זו היא קשה במיוחד </w:t>
      </w:r>
      <w:r w:rsidR="001A7EF3" w:rsidRPr="001A0B66">
        <w:rPr>
          <w:rFonts w:ascii="FrankRuehl" w:hAnsi="FrankRuehl" w:cs="FrankRuehl"/>
          <w:sz w:val="28"/>
          <w:szCs w:val="28"/>
          <w:rtl/>
        </w:rPr>
        <w:t xml:space="preserve">משום </w:t>
      </w:r>
      <w:r w:rsidRPr="001A0B66">
        <w:rPr>
          <w:rFonts w:ascii="FrankRuehl" w:hAnsi="FrankRuehl" w:cs="FrankRuehl"/>
          <w:sz w:val="28"/>
          <w:szCs w:val="28"/>
          <w:rtl/>
        </w:rPr>
        <w:t xml:space="preserve">שהיא מאפשרת </w:t>
      </w:r>
      <w:r w:rsidR="001A7EF3" w:rsidRPr="001A0B66">
        <w:rPr>
          <w:rFonts w:ascii="FrankRuehl" w:hAnsi="FrankRuehl" w:cs="FrankRuehl"/>
          <w:sz w:val="28"/>
          <w:szCs w:val="28"/>
          <w:rtl/>
        </w:rPr>
        <w:t>ל</w:t>
      </w:r>
      <w:r w:rsidRPr="001A0B66">
        <w:rPr>
          <w:rFonts w:ascii="FrankRuehl" w:hAnsi="FrankRuehl" w:cs="FrankRuehl"/>
          <w:sz w:val="28"/>
          <w:szCs w:val="28"/>
          <w:rtl/>
        </w:rPr>
        <w:t>של</w:t>
      </w:r>
      <w:r w:rsidR="001A7EF3" w:rsidRPr="001A0B66">
        <w:rPr>
          <w:rFonts w:ascii="FrankRuehl" w:hAnsi="FrankRuehl" w:cs="FrankRuehl"/>
          <w:sz w:val="28"/>
          <w:szCs w:val="28"/>
          <w:rtl/>
        </w:rPr>
        <w:t>ו</w:t>
      </w:r>
      <w:r w:rsidRPr="001A0B66">
        <w:rPr>
          <w:rFonts w:ascii="FrankRuehl" w:hAnsi="FrankRuehl" w:cs="FrankRuehl"/>
          <w:sz w:val="28"/>
          <w:szCs w:val="28"/>
          <w:rtl/>
        </w:rPr>
        <w:t>ל תושבות קבע, כולל תושבות קבע מלידה (כמו במקרים של ירושלים המזרחית ורמת הגולן)</w:t>
      </w:r>
      <w:r w:rsidR="001A7EF3" w:rsidRPr="001A0B66">
        <w:rPr>
          <w:rFonts w:ascii="FrankRuehl" w:hAnsi="FrankRuehl" w:cs="FrankRuehl"/>
          <w:sz w:val="28"/>
          <w:szCs w:val="28"/>
          <w:rtl/>
        </w:rPr>
        <w:t>,</w:t>
      </w:r>
      <w:r w:rsidRPr="001A0B66">
        <w:rPr>
          <w:rFonts w:ascii="FrankRuehl" w:hAnsi="FrankRuehl" w:cs="FrankRuehl"/>
          <w:sz w:val="28"/>
          <w:szCs w:val="28"/>
          <w:rtl/>
        </w:rPr>
        <w:t xml:space="preserve"> והיא נתונה לשר הפנים בכפוף להתייעצות עם שר המשפטים ועם הוועדה המייעצת לשר</w:t>
      </w:r>
      <w:r w:rsidR="00462E8F" w:rsidRPr="001A0B66">
        <w:rPr>
          <w:rFonts w:ascii="FrankRuehl" w:hAnsi="FrankRuehl" w:cs="FrankRuehl"/>
          <w:sz w:val="28"/>
          <w:szCs w:val="28"/>
          <w:rtl/>
        </w:rPr>
        <w:t xml:space="preserve">. </w:t>
      </w:r>
      <w:r w:rsidR="00DB6A0F" w:rsidRPr="001A0B66">
        <w:rPr>
          <w:rFonts w:ascii="FrankRuehl" w:hAnsi="FrankRuehl" w:cs="FrankRuehl"/>
          <w:sz w:val="28"/>
          <w:szCs w:val="28"/>
          <w:rtl/>
        </w:rPr>
        <w:t>יתר על כן</w:t>
      </w:r>
      <w:r w:rsidR="00462E8F" w:rsidRPr="001A0B66">
        <w:rPr>
          <w:rFonts w:ascii="FrankRuehl" w:hAnsi="FrankRuehl" w:cs="FrankRuehl"/>
          <w:sz w:val="28"/>
          <w:szCs w:val="28"/>
          <w:rtl/>
        </w:rPr>
        <w:t xml:space="preserve">, </w:t>
      </w:r>
      <w:r w:rsidR="001A7EF3" w:rsidRPr="001A0B66">
        <w:rPr>
          <w:rFonts w:ascii="FrankRuehl" w:hAnsi="FrankRuehl" w:cs="FrankRuehl"/>
          <w:sz w:val="28"/>
          <w:szCs w:val="28"/>
          <w:rtl/>
        </w:rPr>
        <w:t xml:space="preserve">לעומת </w:t>
      </w:r>
      <w:r w:rsidR="00462E8F" w:rsidRPr="001A0B66">
        <w:rPr>
          <w:rFonts w:ascii="FrankRuehl" w:hAnsi="FrankRuehl" w:cs="FrankRuehl"/>
          <w:sz w:val="28"/>
          <w:szCs w:val="28"/>
          <w:rtl/>
        </w:rPr>
        <w:t xml:space="preserve">הסמכות לשלילת אזרחות, </w:t>
      </w:r>
      <w:r w:rsidR="00DB6A0F" w:rsidRPr="001A0B66">
        <w:rPr>
          <w:rFonts w:ascii="FrankRuehl" w:hAnsi="FrankRuehl" w:cs="FrankRuehl"/>
          <w:sz w:val="28"/>
          <w:szCs w:val="28"/>
          <w:rtl/>
        </w:rPr>
        <w:t xml:space="preserve">סמכות זו </w:t>
      </w:r>
      <w:r w:rsidR="00462E8F" w:rsidRPr="001A0B66">
        <w:rPr>
          <w:rFonts w:ascii="FrankRuehl" w:hAnsi="FrankRuehl" w:cs="FrankRuehl"/>
          <w:sz w:val="28"/>
          <w:szCs w:val="28"/>
          <w:rtl/>
        </w:rPr>
        <w:lastRenderedPageBreak/>
        <w:t xml:space="preserve">אינה כפופה </w:t>
      </w:r>
      <w:r w:rsidRPr="001A0B66">
        <w:rPr>
          <w:rFonts w:ascii="FrankRuehl" w:hAnsi="FrankRuehl" w:cs="FrankRuehl"/>
          <w:sz w:val="28"/>
          <w:szCs w:val="28"/>
          <w:rtl/>
        </w:rPr>
        <w:t xml:space="preserve">לקבלת הסכמתו בכתב של היועץ המשפטי לממשלה. חוק הכניסה לישראל מאפשר שימוש בראיות חסויות בהליכים בבית הדין </w:t>
      </w:r>
      <w:proofErr w:type="spellStart"/>
      <w:r w:rsidRPr="001A0B66">
        <w:rPr>
          <w:rFonts w:ascii="FrankRuehl" w:hAnsi="FrankRuehl" w:cs="FrankRuehl"/>
          <w:sz w:val="28"/>
          <w:szCs w:val="28"/>
          <w:rtl/>
        </w:rPr>
        <w:t>לעררים</w:t>
      </w:r>
      <w:proofErr w:type="spellEnd"/>
      <w:r w:rsidR="001A7EF3" w:rsidRPr="001A0B66">
        <w:rPr>
          <w:rFonts w:ascii="FrankRuehl" w:hAnsi="FrankRuehl" w:cs="FrankRuehl"/>
          <w:sz w:val="28"/>
          <w:szCs w:val="28"/>
          <w:rtl/>
        </w:rPr>
        <w:t>;</w:t>
      </w:r>
      <w:r w:rsidRPr="001A0B66">
        <w:rPr>
          <w:rFonts w:ascii="FrankRuehl" w:hAnsi="FrankRuehl" w:cs="FrankRuehl"/>
          <w:sz w:val="28"/>
          <w:szCs w:val="28"/>
          <w:rtl/>
        </w:rPr>
        <w:t xml:space="preserve"> </w:t>
      </w:r>
      <w:r w:rsidR="001A7EF3" w:rsidRPr="001A0B66">
        <w:rPr>
          <w:rFonts w:ascii="FrankRuehl" w:hAnsi="FrankRuehl" w:cs="FrankRuehl"/>
          <w:sz w:val="28"/>
          <w:szCs w:val="28"/>
          <w:rtl/>
        </w:rPr>
        <w:t>אף שהחוק אינו עוסק</w:t>
      </w:r>
      <w:r w:rsidRPr="001A0B66">
        <w:rPr>
          <w:rFonts w:ascii="FrankRuehl" w:hAnsi="FrankRuehl" w:cs="FrankRuehl"/>
          <w:sz w:val="28"/>
          <w:szCs w:val="28"/>
          <w:rtl/>
        </w:rPr>
        <w:t xml:space="preserve"> </w:t>
      </w:r>
      <w:r w:rsidR="001A7EF3" w:rsidRPr="001A0B66">
        <w:rPr>
          <w:rFonts w:ascii="FrankRuehl" w:hAnsi="FrankRuehl" w:cs="FrankRuehl"/>
          <w:sz w:val="28"/>
          <w:szCs w:val="28"/>
          <w:rtl/>
        </w:rPr>
        <w:t>ב</w:t>
      </w:r>
      <w:r w:rsidRPr="001A0B66">
        <w:rPr>
          <w:rFonts w:ascii="FrankRuehl" w:hAnsi="FrankRuehl" w:cs="FrankRuehl"/>
          <w:sz w:val="28"/>
          <w:szCs w:val="28"/>
          <w:rtl/>
        </w:rPr>
        <w:t>מפורש בשאל</w:t>
      </w:r>
      <w:r w:rsidR="001A7EF3" w:rsidRPr="001A0B66">
        <w:rPr>
          <w:rFonts w:ascii="FrankRuehl" w:hAnsi="FrankRuehl" w:cs="FrankRuehl"/>
          <w:sz w:val="28"/>
          <w:szCs w:val="28"/>
          <w:rtl/>
        </w:rPr>
        <w:t>ה אם שר הפנים רשאי להשתמש</w:t>
      </w:r>
      <w:r w:rsidRPr="001A0B66">
        <w:rPr>
          <w:rFonts w:ascii="FrankRuehl" w:hAnsi="FrankRuehl" w:cs="FrankRuehl"/>
          <w:sz w:val="28"/>
          <w:szCs w:val="28"/>
          <w:rtl/>
        </w:rPr>
        <w:t xml:space="preserve"> בראיות חסויות</w:t>
      </w:r>
      <w:r w:rsidR="00462E8F" w:rsidRPr="001A0B66">
        <w:rPr>
          <w:rFonts w:ascii="FrankRuehl" w:hAnsi="FrankRuehl" w:cs="FrankRuehl"/>
          <w:sz w:val="28"/>
          <w:szCs w:val="28"/>
          <w:rtl/>
        </w:rPr>
        <w:t xml:space="preserve"> </w:t>
      </w:r>
      <w:r w:rsidR="001A7EF3" w:rsidRPr="001A0B66">
        <w:rPr>
          <w:rFonts w:ascii="FrankRuehl" w:hAnsi="FrankRuehl" w:cs="FrankRuehl"/>
          <w:sz w:val="28"/>
          <w:szCs w:val="28"/>
          <w:rtl/>
        </w:rPr>
        <w:t>לשם קבלת ההחלטה</w:t>
      </w:r>
      <w:r w:rsidR="00462E8F" w:rsidRPr="001A0B66">
        <w:rPr>
          <w:rFonts w:ascii="FrankRuehl" w:hAnsi="FrankRuehl" w:cs="FrankRuehl"/>
          <w:sz w:val="28"/>
          <w:szCs w:val="28"/>
          <w:rtl/>
        </w:rPr>
        <w:t xml:space="preserve">, </w:t>
      </w:r>
      <w:r w:rsidR="001A7EF3" w:rsidRPr="001A0B66">
        <w:rPr>
          <w:rFonts w:ascii="FrankRuehl" w:hAnsi="FrankRuehl" w:cs="FrankRuehl"/>
          <w:sz w:val="28"/>
          <w:szCs w:val="28"/>
          <w:rtl/>
        </w:rPr>
        <w:t xml:space="preserve">בפועל </w:t>
      </w:r>
      <w:r w:rsidR="00462E8F" w:rsidRPr="001A0B66">
        <w:rPr>
          <w:rFonts w:ascii="FrankRuehl" w:hAnsi="FrankRuehl" w:cs="FrankRuehl"/>
          <w:sz w:val="28"/>
          <w:szCs w:val="28"/>
          <w:rtl/>
        </w:rPr>
        <w:t>הוא</w:t>
      </w:r>
      <w:r w:rsidRPr="001A0B66">
        <w:rPr>
          <w:rFonts w:ascii="FrankRuehl" w:hAnsi="FrankRuehl" w:cs="FrankRuehl"/>
          <w:sz w:val="28"/>
          <w:szCs w:val="28"/>
          <w:rtl/>
        </w:rPr>
        <w:t xml:space="preserve"> אכן </w:t>
      </w:r>
      <w:r w:rsidR="00A465B8" w:rsidRPr="001A0B66">
        <w:rPr>
          <w:rFonts w:ascii="FrankRuehl" w:hAnsi="FrankRuehl" w:cs="FrankRuehl"/>
          <w:sz w:val="28"/>
          <w:szCs w:val="28"/>
          <w:rtl/>
        </w:rPr>
        <w:t>עושה</w:t>
      </w:r>
      <w:r w:rsidRPr="001A0B66">
        <w:rPr>
          <w:rFonts w:ascii="FrankRuehl" w:hAnsi="FrankRuehl" w:cs="FrankRuehl"/>
          <w:sz w:val="28"/>
          <w:szCs w:val="28"/>
          <w:rtl/>
        </w:rPr>
        <w:t xml:space="preserve"> בהן שימוש גם בהקשר זה.</w:t>
      </w:r>
      <w:r w:rsidRPr="001A0B66">
        <w:rPr>
          <w:rStyle w:val="FootnoteReference"/>
          <w:rFonts w:ascii="FrankRuehl" w:hAnsi="FrankRuehl" w:cs="FrankRuehl"/>
          <w:sz w:val="28"/>
          <w:szCs w:val="28"/>
          <w:rtl/>
        </w:rPr>
        <w:footnoteReference w:id="153"/>
      </w:r>
    </w:p>
    <w:p w14:paraId="2EEC76E8" w14:textId="77777777" w:rsidR="00DE4F51" w:rsidRPr="001A0B66" w:rsidRDefault="000D2217" w:rsidP="00F307FB">
      <w:pPr>
        <w:pStyle w:val="a1"/>
        <w:spacing w:line="276" w:lineRule="auto"/>
        <w:rPr>
          <w:rFonts w:ascii="FrankRuehl" w:hAnsi="FrankRuehl" w:cs="FrankRuehl"/>
          <w:sz w:val="28"/>
          <w:szCs w:val="28"/>
        </w:rPr>
      </w:pPr>
      <w:r w:rsidRPr="001A0B66">
        <w:rPr>
          <w:rFonts w:ascii="FrankRuehl" w:hAnsi="FrankRuehl" w:cs="FrankRuehl"/>
          <w:b/>
          <w:bCs/>
          <w:sz w:val="28"/>
          <w:szCs w:val="28"/>
          <w:rtl/>
        </w:rPr>
        <w:t>ועדות "מאוימים"</w:t>
      </w:r>
      <w:r w:rsidR="00E94228">
        <w:rPr>
          <w:rFonts w:ascii="FrankRuehl" w:hAnsi="FrankRuehl" w:cs="FrankRuehl"/>
          <w:b/>
          <w:bCs/>
          <w:sz w:val="28"/>
          <w:szCs w:val="28"/>
          <w:rtl/>
        </w:rPr>
        <w:t>.</w:t>
      </w:r>
      <w:r w:rsidR="00A24B3D" w:rsidRPr="001A0B66">
        <w:rPr>
          <w:rFonts w:ascii="FrankRuehl" w:hAnsi="FrankRuehl" w:cs="FrankRuehl"/>
          <w:b/>
          <w:bCs/>
          <w:sz w:val="28"/>
          <w:szCs w:val="28"/>
          <w:rtl/>
        </w:rPr>
        <w:t xml:space="preserve"> </w:t>
      </w:r>
      <w:r w:rsidR="00A24B3D" w:rsidRPr="001A0B66">
        <w:rPr>
          <w:rFonts w:ascii="FrankRuehl" w:hAnsi="FrankRuehl" w:cs="FrankRuehl"/>
          <w:sz w:val="28"/>
          <w:szCs w:val="28"/>
          <w:rtl/>
        </w:rPr>
        <w:t>ועדות אלו</w:t>
      </w:r>
      <w:r w:rsidR="00A24B3D" w:rsidRPr="001A0B66">
        <w:rPr>
          <w:rFonts w:ascii="FrankRuehl" w:hAnsi="FrankRuehl" w:cs="FrankRuehl"/>
          <w:b/>
          <w:bCs/>
          <w:sz w:val="28"/>
          <w:szCs w:val="28"/>
          <w:rtl/>
        </w:rPr>
        <w:t xml:space="preserve"> </w:t>
      </w:r>
      <w:r w:rsidRPr="001A0B66">
        <w:rPr>
          <w:rFonts w:ascii="FrankRuehl" w:hAnsi="FrankRuehl" w:cs="FrankRuehl"/>
          <w:sz w:val="28"/>
          <w:szCs w:val="28"/>
          <w:rtl/>
        </w:rPr>
        <w:t>דנות בבקשות מעמד של פלסטינים תושבי שטחי הרשות הפלסטינית אשר לטענתם נשקפת סכנה לחייהם בתחום ה</w:t>
      </w:r>
      <w:r w:rsidR="00A24B3D" w:rsidRPr="001A0B66">
        <w:rPr>
          <w:rFonts w:ascii="FrankRuehl" w:hAnsi="FrankRuehl" w:cs="FrankRuehl"/>
          <w:sz w:val="28"/>
          <w:szCs w:val="28"/>
          <w:rtl/>
        </w:rPr>
        <w:t xml:space="preserve">גדה המערבית </w:t>
      </w:r>
      <w:r w:rsidRPr="001A0B66">
        <w:rPr>
          <w:rFonts w:ascii="FrankRuehl" w:hAnsi="FrankRuehl" w:cs="FrankRuehl"/>
          <w:sz w:val="28"/>
          <w:szCs w:val="28"/>
          <w:rtl/>
        </w:rPr>
        <w:t xml:space="preserve">או </w:t>
      </w:r>
      <w:r w:rsidR="001A0C8B" w:rsidRPr="001A0B66">
        <w:rPr>
          <w:rFonts w:ascii="FrankRuehl" w:hAnsi="FrankRuehl" w:cs="FrankRuehl"/>
          <w:sz w:val="28"/>
          <w:szCs w:val="28"/>
          <w:rtl/>
        </w:rPr>
        <w:t>ב</w:t>
      </w:r>
      <w:r w:rsidRPr="001A0B66">
        <w:rPr>
          <w:rFonts w:ascii="FrankRuehl" w:hAnsi="FrankRuehl" w:cs="FrankRuehl"/>
          <w:sz w:val="28"/>
          <w:szCs w:val="28"/>
          <w:rtl/>
        </w:rPr>
        <w:t xml:space="preserve">רצועת עזה, על רקע חשד </w:t>
      </w:r>
      <w:r w:rsidR="001A7EF3" w:rsidRPr="001A0B66">
        <w:rPr>
          <w:rFonts w:ascii="FrankRuehl" w:hAnsi="FrankRuehl" w:cs="FrankRuehl"/>
          <w:sz w:val="28"/>
          <w:szCs w:val="28"/>
          <w:rtl/>
        </w:rPr>
        <w:t>הרווח ב</w:t>
      </w:r>
      <w:r w:rsidR="00A24B3D" w:rsidRPr="001A0B66">
        <w:rPr>
          <w:rFonts w:ascii="FrankRuehl" w:hAnsi="FrankRuehl" w:cs="FrankRuehl"/>
          <w:sz w:val="28"/>
          <w:szCs w:val="28"/>
          <w:rtl/>
        </w:rPr>
        <w:t xml:space="preserve">קהילתם </w:t>
      </w:r>
      <w:r w:rsidR="001A7EF3" w:rsidRPr="001A0B66">
        <w:rPr>
          <w:rFonts w:ascii="FrankRuehl" w:hAnsi="FrankRuehl" w:cs="FrankRuehl"/>
          <w:sz w:val="28"/>
          <w:szCs w:val="28"/>
          <w:rtl/>
        </w:rPr>
        <w:t xml:space="preserve">כי הם </w:t>
      </w:r>
      <w:r w:rsidR="008F25B8" w:rsidRPr="001A0B66">
        <w:rPr>
          <w:rFonts w:ascii="FrankRuehl" w:hAnsi="FrankRuehl" w:cs="FrankRuehl"/>
          <w:sz w:val="28"/>
          <w:szCs w:val="28"/>
          <w:rtl/>
        </w:rPr>
        <w:t xml:space="preserve">היו או עודם </w:t>
      </w:r>
      <w:r w:rsidR="001A7EF3" w:rsidRPr="001A0B66">
        <w:rPr>
          <w:rFonts w:ascii="FrankRuehl" w:hAnsi="FrankRuehl" w:cs="FrankRuehl"/>
          <w:sz w:val="28"/>
          <w:szCs w:val="28"/>
          <w:rtl/>
        </w:rPr>
        <w:t xml:space="preserve">משתפים </w:t>
      </w:r>
      <w:r w:rsidRPr="001A0B66">
        <w:rPr>
          <w:rFonts w:ascii="FrankRuehl" w:hAnsi="FrankRuehl" w:cs="FrankRuehl"/>
          <w:sz w:val="28"/>
          <w:szCs w:val="28"/>
          <w:rtl/>
        </w:rPr>
        <w:t>פעולה עם ישראל. נ</w:t>
      </w:r>
      <w:r w:rsidR="008F5ECA" w:rsidRPr="001A0B66">
        <w:rPr>
          <w:rFonts w:ascii="FrankRuehl" w:hAnsi="FrankRuehl" w:cs="FrankRuehl"/>
          <w:sz w:val="28"/>
          <w:szCs w:val="28"/>
          <w:rtl/>
        </w:rPr>
        <w:t>ו</w:t>
      </w:r>
      <w:r w:rsidRPr="001A0B66">
        <w:rPr>
          <w:rFonts w:ascii="FrankRuehl" w:hAnsi="FrankRuehl" w:cs="FrankRuehl"/>
          <w:sz w:val="28"/>
          <w:szCs w:val="28"/>
          <w:rtl/>
        </w:rPr>
        <w:t>הלי העבודה עצמם נחשפו רק ב-2015 בעקבות עתירה של ארגון "גישה"</w:t>
      </w:r>
      <w:r w:rsidR="001A7EF3" w:rsidRPr="001A0B66">
        <w:rPr>
          <w:rFonts w:ascii="FrankRuehl" w:hAnsi="FrankRuehl" w:cs="FrankRuehl"/>
          <w:sz w:val="28"/>
          <w:szCs w:val="28"/>
          <w:rtl/>
        </w:rPr>
        <w:t>;</w:t>
      </w:r>
      <w:r w:rsidR="00F549A8" w:rsidRPr="001A0B66">
        <w:rPr>
          <w:rStyle w:val="FootnoteReference"/>
          <w:rFonts w:ascii="FrankRuehl" w:hAnsi="FrankRuehl" w:cs="FrankRuehl"/>
          <w:sz w:val="28"/>
          <w:szCs w:val="28"/>
          <w:rtl/>
        </w:rPr>
        <w:footnoteReference w:id="154"/>
      </w:r>
      <w:r w:rsidRPr="001A0B66">
        <w:rPr>
          <w:rFonts w:ascii="FrankRuehl" w:hAnsi="FrankRuehl" w:cs="FrankRuehl"/>
          <w:sz w:val="28"/>
          <w:szCs w:val="28"/>
          <w:rtl/>
        </w:rPr>
        <w:t xml:space="preserve"> בהליכים לקביעת מעמד</w:t>
      </w:r>
      <w:r w:rsidR="001A7EF3" w:rsidRPr="001A0B66">
        <w:rPr>
          <w:rFonts w:ascii="FrankRuehl" w:hAnsi="FrankRuehl" w:cs="FrankRuehl"/>
          <w:sz w:val="28"/>
          <w:szCs w:val="28"/>
          <w:rtl/>
        </w:rPr>
        <w:t xml:space="preserve"> של</w:t>
      </w:r>
      <w:r w:rsidRPr="001A0B66">
        <w:rPr>
          <w:rFonts w:ascii="FrankRuehl" w:hAnsi="FrankRuehl" w:cs="FrankRuehl"/>
          <w:sz w:val="28"/>
          <w:szCs w:val="28"/>
          <w:rtl/>
        </w:rPr>
        <w:t xml:space="preserve"> סייען</w:t>
      </w:r>
      <w:r w:rsidR="001A7EF3" w:rsidRPr="001A0B66">
        <w:rPr>
          <w:rFonts w:ascii="FrankRuehl" w:hAnsi="FrankRuehl" w:cs="FrankRuehl"/>
          <w:sz w:val="28"/>
          <w:szCs w:val="28"/>
          <w:rtl/>
        </w:rPr>
        <w:t xml:space="preserve"> </w:t>
      </w:r>
      <w:r w:rsidRPr="001A0B66">
        <w:rPr>
          <w:rFonts w:ascii="FrankRuehl" w:hAnsi="FrankRuehl" w:cs="FrankRuehl"/>
          <w:sz w:val="28"/>
          <w:szCs w:val="28"/>
          <w:rtl/>
        </w:rPr>
        <w:t>הזכאי</w:t>
      </w:r>
      <w:r w:rsidR="001A7EF3" w:rsidRPr="001A0B66">
        <w:rPr>
          <w:rFonts w:ascii="FrankRuehl" w:hAnsi="FrankRuehl" w:cs="FrankRuehl"/>
          <w:sz w:val="28"/>
          <w:szCs w:val="28"/>
          <w:rtl/>
        </w:rPr>
        <w:t xml:space="preserve"> </w:t>
      </w:r>
      <w:r w:rsidRPr="001A0B66">
        <w:rPr>
          <w:rFonts w:ascii="FrankRuehl" w:hAnsi="FrankRuehl" w:cs="FrankRuehl"/>
          <w:sz w:val="28"/>
          <w:szCs w:val="28"/>
          <w:rtl/>
        </w:rPr>
        <w:t>להגנה משתמשת המדינה לע</w:t>
      </w:r>
      <w:r w:rsidR="005D4A84" w:rsidRPr="001A0B66">
        <w:rPr>
          <w:rFonts w:ascii="FrankRuehl" w:hAnsi="FrankRuehl" w:cs="FrankRuehl"/>
          <w:sz w:val="28"/>
          <w:szCs w:val="28"/>
          <w:rtl/>
        </w:rPr>
        <w:t>י</w:t>
      </w:r>
      <w:r w:rsidRPr="001A0B66">
        <w:rPr>
          <w:rFonts w:ascii="FrankRuehl" w:hAnsi="FrankRuehl" w:cs="FrankRuehl"/>
          <w:sz w:val="28"/>
          <w:szCs w:val="28"/>
          <w:rtl/>
        </w:rPr>
        <w:t xml:space="preserve">תים בראיות חסויות להוכחת </w:t>
      </w:r>
      <w:r w:rsidR="001A7EF3" w:rsidRPr="001A0B66">
        <w:rPr>
          <w:rFonts w:ascii="FrankRuehl" w:hAnsi="FrankRuehl" w:cs="FrankRuehl"/>
          <w:sz w:val="28"/>
          <w:szCs w:val="28"/>
          <w:rtl/>
        </w:rPr>
        <w:t>ה</w:t>
      </w:r>
      <w:r w:rsidRPr="001A0B66">
        <w:rPr>
          <w:rFonts w:ascii="FrankRuehl" w:hAnsi="FrankRuehl" w:cs="FrankRuehl"/>
          <w:sz w:val="28"/>
          <w:szCs w:val="28"/>
          <w:rtl/>
        </w:rPr>
        <w:t xml:space="preserve">טענה </w:t>
      </w:r>
      <w:r w:rsidR="001A7EF3" w:rsidRPr="001A0B66">
        <w:rPr>
          <w:rFonts w:ascii="FrankRuehl" w:hAnsi="FrankRuehl" w:cs="FrankRuehl"/>
          <w:sz w:val="28"/>
          <w:szCs w:val="28"/>
          <w:rtl/>
        </w:rPr>
        <w:t xml:space="preserve">כי </w:t>
      </w:r>
      <w:r w:rsidRPr="001A0B66">
        <w:rPr>
          <w:rFonts w:ascii="FrankRuehl" w:hAnsi="FrankRuehl" w:cs="FrankRuehl"/>
          <w:sz w:val="28"/>
          <w:szCs w:val="28"/>
          <w:rtl/>
        </w:rPr>
        <w:t xml:space="preserve">אדם איננו סייען, </w:t>
      </w:r>
      <w:r w:rsidR="001A7EF3" w:rsidRPr="001A0B66">
        <w:rPr>
          <w:rFonts w:ascii="FrankRuehl" w:hAnsi="FrankRuehl" w:cs="FrankRuehl"/>
          <w:sz w:val="28"/>
          <w:szCs w:val="28"/>
          <w:rtl/>
        </w:rPr>
        <w:t xml:space="preserve">כי הוא </w:t>
      </w:r>
      <w:r w:rsidRPr="001A0B66">
        <w:rPr>
          <w:rFonts w:ascii="FrankRuehl" w:hAnsi="FrankRuehl" w:cs="FrankRuehl"/>
          <w:sz w:val="28"/>
          <w:szCs w:val="28"/>
          <w:rtl/>
        </w:rPr>
        <w:t xml:space="preserve">איננו מאוים או </w:t>
      </w:r>
      <w:r w:rsidR="001A7EF3" w:rsidRPr="001A0B66">
        <w:rPr>
          <w:rFonts w:ascii="FrankRuehl" w:hAnsi="FrankRuehl" w:cs="FrankRuehl"/>
          <w:sz w:val="28"/>
          <w:szCs w:val="28"/>
          <w:rtl/>
        </w:rPr>
        <w:t xml:space="preserve">כי </w:t>
      </w:r>
      <w:r w:rsidRPr="001A0B66">
        <w:rPr>
          <w:rFonts w:ascii="FrankRuehl" w:hAnsi="FrankRuehl" w:cs="FrankRuehl"/>
          <w:sz w:val="28"/>
          <w:szCs w:val="28"/>
          <w:rtl/>
        </w:rPr>
        <w:t xml:space="preserve">נוכחותו בישראל </w:t>
      </w:r>
      <w:r w:rsidR="001A7EF3" w:rsidRPr="001A0B66">
        <w:rPr>
          <w:rFonts w:ascii="FrankRuehl" w:hAnsi="FrankRuehl" w:cs="FrankRuehl"/>
          <w:sz w:val="28"/>
          <w:szCs w:val="28"/>
          <w:rtl/>
        </w:rPr>
        <w:t>מסכנת את המדינה</w:t>
      </w:r>
      <w:r w:rsidRPr="001A0B66">
        <w:rPr>
          <w:rFonts w:ascii="FrankRuehl" w:hAnsi="FrankRuehl" w:cs="FrankRuehl"/>
          <w:sz w:val="28"/>
          <w:szCs w:val="28"/>
          <w:rtl/>
        </w:rPr>
        <w:t>.</w:t>
      </w:r>
      <w:r w:rsidRPr="001A0B66">
        <w:rPr>
          <w:rStyle w:val="FootnoteReference"/>
          <w:rFonts w:ascii="FrankRuehl" w:hAnsi="FrankRuehl" w:cs="FrankRuehl"/>
          <w:sz w:val="28"/>
          <w:szCs w:val="28"/>
          <w:rtl/>
        </w:rPr>
        <w:footnoteReference w:id="155"/>
      </w:r>
      <w:r w:rsidRPr="001A0B66">
        <w:rPr>
          <w:rFonts w:ascii="FrankRuehl" w:hAnsi="FrankRuehl" w:cs="FrankRuehl"/>
          <w:sz w:val="28"/>
          <w:szCs w:val="28"/>
          <w:rtl/>
        </w:rPr>
        <w:t xml:space="preserve"> </w:t>
      </w:r>
    </w:p>
    <w:p w14:paraId="409A69D7" w14:textId="77777777" w:rsidR="00730914" w:rsidRPr="001A0B66" w:rsidRDefault="000D2217" w:rsidP="00F307FB">
      <w:pPr>
        <w:pStyle w:val="a1"/>
        <w:spacing w:line="276" w:lineRule="auto"/>
        <w:rPr>
          <w:rFonts w:ascii="FrankRuehl" w:hAnsi="FrankRuehl" w:cs="FrankRuehl"/>
          <w:sz w:val="28"/>
          <w:szCs w:val="28"/>
          <w:rtl/>
        </w:rPr>
      </w:pPr>
      <w:r w:rsidRPr="001A0B66">
        <w:rPr>
          <w:rFonts w:ascii="FrankRuehl" w:hAnsi="FrankRuehl" w:cs="FrankRuehl"/>
          <w:b/>
          <w:bCs/>
          <w:sz w:val="28"/>
          <w:szCs w:val="28"/>
          <w:rtl/>
        </w:rPr>
        <w:t xml:space="preserve">הליכים </w:t>
      </w:r>
      <w:r w:rsidR="00B82D4F" w:rsidRPr="001A0B66">
        <w:rPr>
          <w:rFonts w:ascii="FrankRuehl" w:hAnsi="FrankRuehl" w:cs="FrankRuehl"/>
          <w:b/>
          <w:bCs/>
          <w:sz w:val="28"/>
          <w:szCs w:val="28"/>
          <w:rtl/>
        </w:rPr>
        <w:t xml:space="preserve">שעניינם תנאי מאסרם </w:t>
      </w:r>
      <w:r w:rsidR="001A7EF3" w:rsidRPr="001A0B66">
        <w:rPr>
          <w:rFonts w:ascii="FrankRuehl" w:hAnsi="FrankRuehl" w:cs="FrankRuehl"/>
          <w:b/>
          <w:bCs/>
          <w:sz w:val="28"/>
          <w:szCs w:val="28"/>
          <w:rtl/>
        </w:rPr>
        <w:t>א</w:t>
      </w:r>
      <w:r w:rsidR="00B82D4F" w:rsidRPr="001A0B66">
        <w:rPr>
          <w:rFonts w:ascii="FrankRuehl" w:hAnsi="FrankRuehl" w:cs="FrankRuehl"/>
          <w:b/>
          <w:bCs/>
          <w:sz w:val="28"/>
          <w:szCs w:val="28"/>
          <w:rtl/>
        </w:rPr>
        <w:t>ו שחרור</w:t>
      </w:r>
      <w:r w:rsidR="001A7EF3" w:rsidRPr="001A0B66">
        <w:rPr>
          <w:rFonts w:ascii="FrankRuehl" w:hAnsi="FrankRuehl" w:cs="FrankRuehl"/>
          <w:b/>
          <w:bCs/>
          <w:sz w:val="28"/>
          <w:szCs w:val="28"/>
          <w:rtl/>
        </w:rPr>
        <w:t>ם</w:t>
      </w:r>
      <w:r w:rsidR="00B82D4F" w:rsidRPr="001A0B66">
        <w:rPr>
          <w:rFonts w:ascii="FrankRuehl" w:hAnsi="FrankRuehl" w:cs="FrankRuehl"/>
          <w:b/>
          <w:bCs/>
          <w:sz w:val="28"/>
          <w:szCs w:val="28"/>
          <w:rtl/>
        </w:rPr>
        <w:t xml:space="preserve"> על תנאי</w:t>
      </w:r>
      <w:r w:rsidR="00A465B8" w:rsidRPr="001A0B66">
        <w:rPr>
          <w:rFonts w:ascii="FrankRuehl" w:hAnsi="FrankRuehl" w:cs="FrankRuehl"/>
          <w:b/>
          <w:bCs/>
          <w:sz w:val="28"/>
          <w:szCs w:val="28"/>
          <w:rtl/>
        </w:rPr>
        <w:t xml:space="preserve"> של אסירים</w:t>
      </w:r>
      <w:r w:rsidR="00E94228">
        <w:rPr>
          <w:rFonts w:ascii="FrankRuehl" w:hAnsi="FrankRuehl" w:cs="FrankRuehl"/>
          <w:b/>
          <w:bCs/>
          <w:sz w:val="28"/>
          <w:szCs w:val="28"/>
          <w:rtl/>
        </w:rPr>
        <w:t>.</w:t>
      </w:r>
      <w:r w:rsidR="00B82D4F" w:rsidRPr="001A0B66">
        <w:rPr>
          <w:rFonts w:ascii="FrankRuehl" w:hAnsi="FrankRuehl" w:cs="FrankRuehl"/>
          <w:sz w:val="28"/>
          <w:szCs w:val="28"/>
          <w:rtl/>
        </w:rPr>
        <w:t xml:space="preserve"> </w:t>
      </w:r>
      <w:r w:rsidR="006B6459" w:rsidRPr="001A0B66">
        <w:rPr>
          <w:rFonts w:ascii="FrankRuehl" w:hAnsi="FrankRuehl" w:cs="FrankRuehl"/>
          <w:sz w:val="28"/>
          <w:szCs w:val="28"/>
          <w:rtl/>
        </w:rPr>
        <w:t xml:space="preserve">כותבים שונים </w:t>
      </w:r>
      <w:r w:rsidR="001A7EF3" w:rsidRPr="001A0B66">
        <w:rPr>
          <w:rFonts w:ascii="FrankRuehl" w:hAnsi="FrankRuehl" w:cs="FrankRuehl"/>
          <w:sz w:val="28"/>
          <w:szCs w:val="28"/>
          <w:rtl/>
        </w:rPr>
        <w:t>עסקו ב</w:t>
      </w:r>
      <w:r w:rsidRPr="001A0B66">
        <w:rPr>
          <w:rFonts w:ascii="FrankRuehl" w:hAnsi="FrankRuehl" w:cs="FrankRuehl"/>
          <w:sz w:val="28"/>
          <w:szCs w:val="28"/>
          <w:rtl/>
        </w:rPr>
        <w:t xml:space="preserve">החלטות </w:t>
      </w:r>
      <w:r w:rsidR="001A7EF3" w:rsidRPr="001A0B66">
        <w:rPr>
          <w:rFonts w:ascii="FrankRuehl" w:hAnsi="FrankRuehl" w:cs="FrankRuehl"/>
          <w:sz w:val="28"/>
          <w:szCs w:val="28"/>
          <w:rtl/>
        </w:rPr>
        <w:t xml:space="preserve">שיש להן </w:t>
      </w:r>
      <w:r w:rsidRPr="001A0B66">
        <w:rPr>
          <w:rFonts w:ascii="FrankRuehl" w:hAnsi="FrankRuehl" w:cs="FrankRuehl"/>
          <w:sz w:val="28"/>
          <w:szCs w:val="28"/>
          <w:rtl/>
        </w:rPr>
        <w:t xml:space="preserve">השלכות כבדות </w:t>
      </w:r>
      <w:r w:rsidR="001A7EF3" w:rsidRPr="001A0B66">
        <w:rPr>
          <w:rFonts w:ascii="FrankRuehl" w:hAnsi="FrankRuehl" w:cs="FrankRuehl"/>
          <w:sz w:val="28"/>
          <w:szCs w:val="28"/>
          <w:rtl/>
        </w:rPr>
        <w:t>ע</w:t>
      </w:r>
      <w:r w:rsidRPr="001A0B66">
        <w:rPr>
          <w:rFonts w:ascii="FrankRuehl" w:hAnsi="FrankRuehl" w:cs="FrankRuehl"/>
          <w:sz w:val="28"/>
          <w:szCs w:val="28"/>
          <w:rtl/>
        </w:rPr>
        <w:t>ל</w:t>
      </w:r>
      <w:r w:rsidR="001A7EF3" w:rsidRPr="001A0B66">
        <w:rPr>
          <w:rFonts w:ascii="FrankRuehl" w:hAnsi="FrankRuehl" w:cs="FrankRuehl"/>
          <w:sz w:val="28"/>
          <w:szCs w:val="28"/>
          <w:rtl/>
        </w:rPr>
        <w:t xml:space="preserve"> </w:t>
      </w:r>
      <w:r w:rsidRPr="001A0B66">
        <w:rPr>
          <w:rFonts w:ascii="FrankRuehl" w:hAnsi="FrankRuehl" w:cs="FrankRuehl"/>
          <w:sz w:val="28"/>
          <w:szCs w:val="28"/>
          <w:rtl/>
        </w:rPr>
        <w:t>חירות</w:t>
      </w:r>
      <w:r w:rsidR="00CD297D" w:rsidRPr="001A0B66">
        <w:rPr>
          <w:rFonts w:ascii="FrankRuehl" w:hAnsi="FrankRuehl" w:cs="FrankRuehl"/>
          <w:sz w:val="28"/>
          <w:szCs w:val="28"/>
          <w:rtl/>
        </w:rPr>
        <w:t>ם</w:t>
      </w:r>
      <w:r w:rsidRPr="001A0B66">
        <w:rPr>
          <w:rFonts w:ascii="FrankRuehl" w:hAnsi="FrankRuehl" w:cs="FrankRuehl"/>
          <w:sz w:val="28"/>
          <w:szCs w:val="28"/>
          <w:rtl/>
        </w:rPr>
        <w:t xml:space="preserve"> ותנאי </w:t>
      </w:r>
      <w:r w:rsidR="00992478" w:rsidRPr="001A0B66">
        <w:rPr>
          <w:rFonts w:ascii="FrankRuehl" w:hAnsi="FrankRuehl" w:cs="FrankRuehl"/>
          <w:sz w:val="28"/>
          <w:szCs w:val="28"/>
          <w:rtl/>
        </w:rPr>
        <w:t xml:space="preserve">כליאתם </w:t>
      </w:r>
      <w:r w:rsidRPr="001A0B66">
        <w:rPr>
          <w:rFonts w:ascii="FrankRuehl" w:hAnsi="FrankRuehl" w:cs="FrankRuehl"/>
          <w:sz w:val="28"/>
          <w:szCs w:val="28"/>
          <w:rtl/>
        </w:rPr>
        <w:t>של אסירים</w:t>
      </w:r>
      <w:r w:rsidR="001A7EF3" w:rsidRPr="001A0B66">
        <w:rPr>
          <w:rFonts w:ascii="FrankRuehl" w:hAnsi="FrankRuehl" w:cs="FrankRuehl"/>
          <w:sz w:val="28"/>
          <w:szCs w:val="28"/>
          <w:rtl/>
        </w:rPr>
        <w:t>, ואשר</w:t>
      </w:r>
      <w:r w:rsidRPr="001A0B66">
        <w:rPr>
          <w:rFonts w:ascii="FrankRuehl" w:hAnsi="FrankRuehl" w:cs="FrankRuehl"/>
          <w:sz w:val="28"/>
          <w:szCs w:val="28"/>
          <w:rtl/>
        </w:rPr>
        <w:t xml:space="preserve"> מתקבלות על בסיס הליכים מנהליים </w:t>
      </w:r>
      <w:r w:rsidR="00A62BD0" w:rsidRPr="001A0B66">
        <w:rPr>
          <w:rFonts w:ascii="FrankRuehl" w:hAnsi="FrankRuehl" w:cs="FrankRuehl"/>
          <w:sz w:val="28"/>
          <w:szCs w:val="28"/>
          <w:rtl/>
        </w:rPr>
        <w:t>ש</w:t>
      </w:r>
      <w:r w:rsidRPr="001A0B66">
        <w:rPr>
          <w:rFonts w:ascii="FrankRuehl" w:hAnsi="FrankRuehl" w:cs="FrankRuehl"/>
          <w:sz w:val="28"/>
          <w:szCs w:val="28"/>
          <w:rtl/>
        </w:rPr>
        <w:t xml:space="preserve">בהם אין </w:t>
      </w:r>
      <w:r w:rsidR="001A7EF3" w:rsidRPr="001A0B66">
        <w:rPr>
          <w:rFonts w:ascii="FrankRuehl" w:hAnsi="FrankRuehl" w:cs="FrankRuehl"/>
          <w:sz w:val="28"/>
          <w:szCs w:val="28"/>
          <w:rtl/>
        </w:rPr>
        <w:t xml:space="preserve">לאסירים </w:t>
      </w:r>
      <w:r w:rsidRPr="001A0B66">
        <w:rPr>
          <w:rFonts w:ascii="FrankRuehl" w:hAnsi="FrankRuehl" w:cs="FrankRuehl"/>
          <w:sz w:val="28"/>
          <w:szCs w:val="28"/>
          <w:rtl/>
        </w:rPr>
        <w:t>ייצוג ו</w:t>
      </w:r>
      <w:r w:rsidR="00CD1263" w:rsidRPr="001A0B66">
        <w:rPr>
          <w:rFonts w:ascii="FrankRuehl" w:hAnsi="FrankRuehl" w:cs="FrankRuehl"/>
          <w:sz w:val="28"/>
          <w:szCs w:val="28"/>
          <w:rtl/>
        </w:rPr>
        <w:t>מתבססי</w:t>
      </w:r>
      <w:r w:rsidRPr="001A0B66">
        <w:rPr>
          <w:rFonts w:ascii="FrankRuehl" w:hAnsi="FrankRuehl" w:cs="FrankRuehl"/>
          <w:sz w:val="28"/>
          <w:szCs w:val="28"/>
          <w:rtl/>
        </w:rPr>
        <w:t>ם לע</w:t>
      </w:r>
      <w:r w:rsidR="005D4A84" w:rsidRPr="001A0B66">
        <w:rPr>
          <w:rFonts w:ascii="FrankRuehl" w:hAnsi="FrankRuehl" w:cs="FrankRuehl"/>
          <w:sz w:val="28"/>
          <w:szCs w:val="28"/>
          <w:rtl/>
        </w:rPr>
        <w:t>י</w:t>
      </w:r>
      <w:r w:rsidRPr="001A0B66">
        <w:rPr>
          <w:rFonts w:ascii="FrankRuehl" w:hAnsi="FrankRuehl" w:cs="FrankRuehl"/>
          <w:sz w:val="28"/>
          <w:szCs w:val="28"/>
          <w:rtl/>
        </w:rPr>
        <w:t>תים על חומר חסוי.</w:t>
      </w:r>
      <w:r w:rsidRPr="001A0B66">
        <w:rPr>
          <w:rStyle w:val="FootnoteReference"/>
          <w:rFonts w:ascii="FrankRuehl" w:hAnsi="FrankRuehl" w:cs="FrankRuehl"/>
          <w:sz w:val="28"/>
          <w:szCs w:val="28"/>
          <w:rtl/>
        </w:rPr>
        <w:footnoteReference w:id="156"/>
      </w:r>
      <w:r w:rsidRPr="001A0B66">
        <w:rPr>
          <w:rFonts w:ascii="FrankRuehl" w:hAnsi="FrankRuehl" w:cs="FrankRuehl"/>
          <w:sz w:val="28"/>
          <w:szCs w:val="28"/>
          <w:rtl/>
        </w:rPr>
        <w:t xml:space="preserve"> </w:t>
      </w:r>
      <w:r w:rsidR="00730914" w:rsidRPr="001A0B66">
        <w:rPr>
          <w:rFonts w:ascii="FrankRuehl" w:hAnsi="FrankRuehl" w:cs="FrankRuehl"/>
          <w:sz w:val="28"/>
          <w:szCs w:val="28"/>
          <w:rtl/>
        </w:rPr>
        <w:t>ב</w:t>
      </w:r>
      <w:r w:rsidR="005007A4" w:rsidRPr="001A0B66">
        <w:rPr>
          <w:rFonts w:ascii="FrankRuehl" w:hAnsi="FrankRuehl" w:cs="FrankRuehl"/>
          <w:sz w:val="28"/>
          <w:szCs w:val="28"/>
          <w:rtl/>
        </w:rPr>
        <w:t xml:space="preserve">הקשר זה ברצוננו להעיר כי </w:t>
      </w:r>
      <w:r w:rsidR="00730914" w:rsidRPr="001A0B66">
        <w:rPr>
          <w:rFonts w:ascii="FrankRuehl" w:hAnsi="FrankRuehl" w:cs="FrankRuehl"/>
          <w:sz w:val="28"/>
          <w:szCs w:val="28"/>
          <w:rtl/>
        </w:rPr>
        <w:t>חוק שחרור על</w:t>
      </w:r>
      <w:r w:rsidR="005007A4" w:rsidRPr="001A0B66">
        <w:rPr>
          <w:rFonts w:ascii="FrankRuehl" w:hAnsi="FrankRuehl" w:cs="FrankRuehl"/>
          <w:sz w:val="28"/>
          <w:szCs w:val="28"/>
          <w:rtl/>
        </w:rPr>
        <w:t xml:space="preserve"> </w:t>
      </w:r>
      <w:r w:rsidR="00730914" w:rsidRPr="001A0B66">
        <w:rPr>
          <w:rFonts w:ascii="FrankRuehl" w:hAnsi="FrankRuehl" w:cs="FrankRuehl"/>
          <w:sz w:val="28"/>
          <w:szCs w:val="28"/>
          <w:rtl/>
        </w:rPr>
        <w:t xml:space="preserve">תנאי ממאסר, </w:t>
      </w:r>
      <w:proofErr w:type="spellStart"/>
      <w:r w:rsidR="00BF3CB3" w:rsidRPr="001A0B66">
        <w:rPr>
          <w:rFonts w:ascii="FrankRuehl" w:hAnsi="FrankRuehl" w:cs="FrankRuehl"/>
          <w:sz w:val="28"/>
          <w:szCs w:val="28"/>
          <w:rtl/>
        </w:rPr>
        <w:t>ה</w:t>
      </w:r>
      <w:r w:rsidR="00730914" w:rsidRPr="001A0B66">
        <w:rPr>
          <w:rFonts w:ascii="FrankRuehl" w:hAnsi="FrankRuehl" w:cs="FrankRuehl"/>
          <w:sz w:val="28"/>
          <w:szCs w:val="28"/>
          <w:rtl/>
        </w:rPr>
        <w:t>תשס"א</w:t>
      </w:r>
      <w:proofErr w:type="spellEnd"/>
      <w:r w:rsidR="005007A4" w:rsidRPr="001A0B66">
        <w:rPr>
          <w:rFonts w:ascii="FrankRuehl" w:hAnsi="FrankRuehl" w:cs="FrankRuehl"/>
          <w:sz w:val="28"/>
          <w:szCs w:val="28"/>
          <w:rtl/>
        </w:rPr>
        <w:t>–</w:t>
      </w:r>
      <w:r w:rsidR="00730914" w:rsidRPr="001A0B66">
        <w:rPr>
          <w:rFonts w:ascii="FrankRuehl" w:hAnsi="FrankRuehl" w:cs="FrankRuehl"/>
          <w:sz w:val="28"/>
          <w:szCs w:val="28"/>
          <w:rtl/>
        </w:rPr>
        <w:t xml:space="preserve">2001, </w:t>
      </w:r>
      <w:r w:rsidR="00343E4A" w:rsidRPr="001A0B66">
        <w:rPr>
          <w:rFonts w:ascii="FrankRuehl" w:hAnsi="FrankRuehl" w:cs="FrankRuehl"/>
          <w:sz w:val="28"/>
          <w:szCs w:val="28"/>
          <w:rtl/>
        </w:rPr>
        <w:t xml:space="preserve">מסמיך את ועדת השחרורים להפוך </w:t>
      </w:r>
      <w:r w:rsidR="00A62BD0" w:rsidRPr="001A0B66">
        <w:rPr>
          <w:rFonts w:ascii="FrankRuehl" w:hAnsi="FrankRuehl" w:cs="FrankRuehl"/>
          <w:sz w:val="28"/>
          <w:szCs w:val="28"/>
          <w:rtl/>
        </w:rPr>
        <w:t xml:space="preserve">את </w:t>
      </w:r>
      <w:r w:rsidR="00343E4A" w:rsidRPr="001A0B66">
        <w:rPr>
          <w:rFonts w:ascii="FrankRuehl" w:hAnsi="FrankRuehl" w:cs="FrankRuehl"/>
          <w:sz w:val="28"/>
          <w:szCs w:val="28"/>
          <w:rtl/>
        </w:rPr>
        <w:t>עורך די</w:t>
      </w:r>
      <w:r w:rsidR="00A62BD0" w:rsidRPr="001A0B66">
        <w:rPr>
          <w:rFonts w:ascii="FrankRuehl" w:hAnsi="FrankRuehl" w:cs="FrankRuehl"/>
          <w:sz w:val="28"/>
          <w:szCs w:val="28"/>
          <w:rtl/>
        </w:rPr>
        <w:t>נו של האסיר</w:t>
      </w:r>
      <w:r w:rsidR="00343E4A" w:rsidRPr="001A0B66">
        <w:rPr>
          <w:rFonts w:ascii="FrankRuehl" w:hAnsi="FrankRuehl" w:cs="FrankRuehl"/>
          <w:sz w:val="28"/>
          <w:szCs w:val="28"/>
          <w:rtl/>
        </w:rPr>
        <w:t xml:space="preserve"> למעין עורך דין מיוחד</w:t>
      </w:r>
      <w:r w:rsidR="00A62BD0" w:rsidRPr="001A0B66">
        <w:rPr>
          <w:rFonts w:ascii="FrankRuehl" w:hAnsi="FrankRuehl" w:cs="FrankRuehl"/>
          <w:sz w:val="28"/>
          <w:szCs w:val="28"/>
          <w:rtl/>
        </w:rPr>
        <w:t xml:space="preserve"> </w:t>
      </w:r>
      <w:r w:rsidR="00343E4A" w:rsidRPr="001A0B66">
        <w:rPr>
          <w:rFonts w:ascii="FrankRuehl" w:hAnsi="FrankRuehl" w:cs="FrankRuehl"/>
          <w:sz w:val="28"/>
          <w:szCs w:val="28"/>
          <w:rtl/>
        </w:rPr>
        <w:t>בהקשר מסוים</w:t>
      </w:r>
      <w:r w:rsidR="00992478" w:rsidRPr="001A0B66">
        <w:rPr>
          <w:rFonts w:ascii="FrankRuehl" w:hAnsi="FrankRuehl" w:cs="FrankRuehl"/>
          <w:sz w:val="28"/>
          <w:szCs w:val="28"/>
          <w:rtl/>
        </w:rPr>
        <w:t xml:space="preserve"> המפורט שם</w:t>
      </w:r>
      <w:r w:rsidR="005007A4" w:rsidRPr="001A0B66">
        <w:rPr>
          <w:rFonts w:ascii="FrankRuehl" w:hAnsi="FrankRuehl" w:cs="FrankRuehl"/>
          <w:sz w:val="28"/>
          <w:szCs w:val="28"/>
          <w:rtl/>
        </w:rPr>
        <w:t>,</w:t>
      </w:r>
      <w:r w:rsidR="00343E4A" w:rsidRPr="001A0B66">
        <w:rPr>
          <w:rFonts w:ascii="FrankRuehl" w:hAnsi="FrankRuehl" w:cs="FrankRuehl"/>
          <w:sz w:val="28"/>
          <w:szCs w:val="28"/>
          <w:rtl/>
        </w:rPr>
        <w:t xml:space="preserve"> </w:t>
      </w:r>
      <w:r w:rsidR="005007A4" w:rsidRPr="001A0B66">
        <w:rPr>
          <w:rFonts w:ascii="FrankRuehl" w:hAnsi="FrankRuehl" w:cs="FrankRuehl"/>
          <w:sz w:val="28"/>
          <w:szCs w:val="28"/>
          <w:rtl/>
        </w:rPr>
        <w:t>ב</w:t>
      </w:r>
      <w:r w:rsidR="00343E4A" w:rsidRPr="001A0B66">
        <w:rPr>
          <w:rFonts w:ascii="FrankRuehl" w:hAnsi="FrankRuehl" w:cs="FrankRuehl"/>
          <w:sz w:val="28"/>
          <w:szCs w:val="28"/>
          <w:rtl/>
        </w:rPr>
        <w:t xml:space="preserve">סעיף 17(ו): </w:t>
      </w:r>
    </w:p>
    <w:p w14:paraId="7EDB227C" w14:textId="77777777" w:rsidR="00730914" w:rsidRPr="001A0B66" w:rsidRDefault="00096203" w:rsidP="00F307FB">
      <w:pPr>
        <w:pStyle w:val="Quote"/>
        <w:spacing w:line="276" w:lineRule="auto"/>
        <w:rPr>
          <w:rFonts w:ascii="FrankRuehl" w:hAnsi="FrankRuehl" w:cs="FrankRuehl"/>
          <w:sz w:val="28"/>
          <w:szCs w:val="28"/>
        </w:rPr>
      </w:pPr>
      <w:r w:rsidRPr="001A0B66">
        <w:rPr>
          <w:rFonts w:ascii="FrankRuehl" w:hAnsi="FrankRuehl" w:cs="FrankRuehl"/>
          <w:sz w:val="28"/>
          <w:szCs w:val="28"/>
          <w:rtl/>
        </w:rPr>
        <w:t>"</w:t>
      </w:r>
      <w:r w:rsidR="00730914" w:rsidRPr="001A0B66">
        <w:rPr>
          <w:rFonts w:ascii="FrankRuehl" w:hAnsi="FrankRuehl" w:cs="FrankRuehl"/>
          <w:sz w:val="28"/>
          <w:szCs w:val="28"/>
          <w:rtl/>
        </w:rPr>
        <w:t xml:space="preserve">החליטה הועדה שלא לגלות לאסיר ולבא כוחו תוכנו של מידע חסוי, כולו או מקצתו, תעביר הועדה לאסיר פרטים או תמצית של המידע החסוי, ככל שניתן לעשות כן בלי לפגוע בביטחון המדינה או </w:t>
      </w:r>
      <w:proofErr w:type="spellStart"/>
      <w:r w:rsidR="00730914" w:rsidRPr="001A0B66">
        <w:rPr>
          <w:rFonts w:ascii="FrankRuehl" w:hAnsi="FrankRuehl" w:cs="FrankRuehl"/>
          <w:sz w:val="28"/>
          <w:szCs w:val="28"/>
          <w:rtl/>
        </w:rPr>
        <w:t>בענין</w:t>
      </w:r>
      <w:proofErr w:type="spellEnd"/>
      <w:r w:rsidR="00730914" w:rsidRPr="001A0B66">
        <w:rPr>
          <w:rFonts w:ascii="FrankRuehl" w:hAnsi="FrankRuehl" w:cs="FrankRuehl"/>
          <w:sz w:val="28"/>
          <w:szCs w:val="28"/>
          <w:rtl/>
        </w:rPr>
        <w:t xml:space="preserve"> הציבורי האחר; </w:t>
      </w:r>
      <w:proofErr w:type="spellStart"/>
      <w:r w:rsidR="00730914" w:rsidRPr="001A0B66">
        <w:rPr>
          <w:rFonts w:ascii="FrankRuehl" w:hAnsi="FrankRuehl" w:cs="FrankRuehl"/>
          <w:sz w:val="28"/>
          <w:szCs w:val="28"/>
          <w:rtl/>
        </w:rPr>
        <w:t>היתה</w:t>
      </w:r>
      <w:proofErr w:type="spellEnd"/>
      <w:r w:rsidR="00730914" w:rsidRPr="001A0B66">
        <w:rPr>
          <w:rFonts w:ascii="FrankRuehl" w:hAnsi="FrankRuehl" w:cs="FrankRuehl"/>
          <w:sz w:val="28"/>
          <w:szCs w:val="28"/>
          <w:rtl/>
        </w:rPr>
        <w:t xml:space="preserve"> הסיבה לאי גילוי המידע הגנה על טובתו של האסיר, רשאית הועדה לגלות את המידע החסוי רק לבא כוחו של האסיר, ובלבד שהאסיר הסכים לכך</w:t>
      </w:r>
      <w:r w:rsidR="00730914" w:rsidRPr="001A0B66">
        <w:rPr>
          <w:rFonts w:ascii="FrankRuehl" w:hAnsi="FrankRuehl" w:cs="FrankRuehl"/>
          <w:sz w:val="28"/>
          <w:szCs w:val="28"/>
        </w:rPr>
        <w:t>.</w:t>
      </w:r>
      <w:r w:rsidRPr="001A0B66">
        <w:rPr>
          <w:rFonts w:ascii="FrankRuehl" w:hAnsi="FrankRuehl" w:cs="FrankRuehl"/>
          <w:sz w:val="28"/>
          <w:szCs w:val="28"/>
        </w:rPr>
        <w:t>"</w:t>
      </w:r>
    </w:p>
    <w:p w14:paraId="37C6F6E5" w14:textId="77777777" w:rsidR="00DE4F51" w:rsidRPr="001A0B66" w:rsidRDefault="00ED0C26" w:rsidP="00F307FB">
      <w:pPr>
        <w:pStyle w:val="a1"/>
        <w:spacing w:line="276" w:lineRule="auto"/>
        <w:rPr>
          <w:rFonts w:ascii="FrankRuehl" w:hAnsi="FrankRuehl" w:cs="FrankRuehl"/>
          <w:sz w:val="28"/>
          <w:szCs w:val="28"/>
        </w:rPr>
      </w:pPr>
      <w:r w:rsidRPr="001A0B66">
        <w:rPr>
          <w:rFonts w:ascii="FrankRuehl" w:hAnsi="FrankRuehl" w:cs="FrankRuehl"/>
          <w:sz w:val="28"/>
          <w:szCs w:val="28"/>
          <w:rtl/>
        </w:rPr>
        <w:t>ה</w:t>
      </w:r>
      <w:r w:rsidR="00343E4A" w:rsidRPr="001A0B66">
        <w:rPr>
          <w:rFonts w:ascii="FrankRuehl" w:hAnsi="FrankRuehl" w:cs="FrankRuehl"/>
          <w:sz w:val="28"/>
          <w:szCs w:val="28"/>
          <w:rtl/>
        </w:rPr>
        <w:t xml:space="preserve">מנגנון </w:t>
      </w:r>
      <w:r w:rsidRPr="001A0B66">
        <w:rPr>
          <w:rFonts w:ascii="FrankRuehl" w:hAnsi="FrankRuehl" w:cs="FrankRuehl"/>
          <w:sz w:val="28"/>
          <w:szCs w:val="28"/>
          <w:rtl/>
        </w:rPr>
        <w:t xml:space="preserve">המופיע </w:t>
      </w:r>
      <w:proofErr w:type="spellStart"/>
      <w:r w:rsidRPr="001A0B66">
        <w:rPr>
          <w:rFonts w:ascii="FrankRuehl" w:hAnsi="FrankRuehl" w:cs="FrankRuehl"/>
          <w:sz w:val="28"/>
          <w:szCs w:val="28"/>
          <w:rtl/>
        </w:rPr>
        <w:t>בסיפת</w:t>
      </w:r>
      <w:proofErr w:type="spellEnd"/>
      <w:r w:rsidRPr="001A0B66">
        <w:rPr>
          <w:rFonts w:ascii="FrankRuehl" w:hAnsi="FrankRuehl" w:cs="FrankRuehl"/>
          <w:sz w:val="28"/>
          <w:szCs w:val="28"/>
          <w:rtl/>
        </w:rPr>
        <w:t xml:space="preserve"> הסעיף </w:t>
      </w:r>
      <w:r w:rsidR="00462E8F" w:rsidRPr="001A0B66">
        <w:rPr>
          <w:rFonts w:ascii="FrankRuehl" w:hAnsi="FrankRuehl" w:cs="FrankRuehl"/>
          <w:sz w:val="28"/>
          <w:szCs w:val="28"/>
          <w:rtl/>
        </w:rPr>
        <w:t xml:space="preserve">נוגע אם כן רק לראיות חסויות הנוגעות לטובתו של האסיר, ולכן נותר בעינו מכלול הקשיים ביחס לשימוש בראיות חסויות </w:t>
      </w:r>
      <w:r w:rsidRPr="001A0B66">
        <w:rPr>
          <w:rFonts w:ascii="FrankRuehl" w:hAnsi="FrankRuehl" w:cs="FrankRuehl"/>
          <w:sz w:val="28"/>
          <w:szCs w:val="28"/>
          <w:rtl/>
        </w:rPr>
        <w:t xml:space="preserve">נגד האסיר בשל טעמים </w:t>
      </w:r>
      <w:r w:rsidR="00462E8F" w:rsidRPr="001A0B66">
        <w:rPr>
          <w:rFonts w:ascii="FrankRuehl" w:hAnsi="FrankRuehl" w:cs="FrankRuehl"/>
          <w:sz w:val="28"/>
          <w:szCs w:val="28"/>
          <w:rtl/>
        </w:rPr>
        <w:t xml:space="preserve">אחרים. </w:t>
      </w:r>
      <w:r w:rsidR="00343E4A" w:rsidRPr="001A0B66">
        <w:rPr>
          <w:rFonts w:ascii="FrankRuehl" w:hAnsi="FrankRuehl" w:cs="FrankRuehl"/>
          <w:sz w:val="28"/>
          <w:szCs w:val="28"/>
          <w:rtl/>
        </w:rPr>
        <w:t>מכאן הצעתנו להרח</w:t>
      </w:r>
      <w:r w:rsidR="005007A4" w:rsidRPr="001A0B66">
        <w:rPr>
          <w:rFonts w:ascii="FrankRuehl" w:hAnsi="FrankRuehl" w:cs="FrankRuehl"/>
          <w:sz w:val="28"/>
          <w:szCs w:val="28"/>
          <w:rtl/>
        </w:rPr>
        <w:t>י</w:t>
      </w:r>
      <w:r w:rsidR="00343E4A" w:rsidRPr="001A0B66">
        <w:rPr>
          <w:rFonts w:ascii="FrankRuehl" w:hAnsi="FrankRuehl" w:cs="FrankRuehl"/>
          <w:sz w:val="28"/>
          <w:szCs w:val="28"/>
          <w:rtl/>
        </w:rPr>
        <w:t>ב</w:t>
      </w:r>
      <w:r w:rsidR="005007A4" w:rsidRPr="001A0B66">
        <w:rPr>
          <w:rFonts w:ascii="FrankRuehl" w:hAnsi="FrankRuehl" w:cs="FrankRuehl"/>
          <w:sz w:val="28"/>
          <w:szCs w:val="28"/>
          <w:rtl/>
        </w:rPr>
        <w:t xml:space="preserve"> א</w:t>
      </w:r>
      <w:r w:rsidR="00343E4A" w:rsidRPr="001A0B66">
        <w:rPr>
          <w:rFonts w:ascii="FrankRuehl" w:hAnsi="FrankRuehl" w:cs="FrankRuehl"/>
          <w:sz w:val="28"/>
          <w:szCs w:val="28"/>
          <w:rtl/>
        </w:rPr>
        <w:t xml:space="preserve">ת הצעת החוק כך שתחול על </w:t>
      </w:r>
      <w:r w:rsidR="00D66CBB" w:rsidRPr="001A0B66">
        <w:rPr>
          <w:rFonts w:ascii="FrankRuehl" w:hAnsi="FrankRuehl" w:cs="FrankRuehl"/>
          <w:sz w:val="28"/>
          <w:szCs w:val="28"/>
          <w:rtl/>
        </w:rPr>
        <w:t xml:space="preserve">מכלול </w:t>
      </w:r>
      <w:r w:rsidR="00E808B5" w:rsidRPr="001A0B66">
        <w:rPr>
          <w:rFonts w:ascii="FrankRuehl" w:hAnsi="FrankRuehl" w:cs="FrankRuehl"/>
          <w:sz w:val="28"/>
          <w:szCs w:val="28"/>
          <w:rtl/>
        </w:rPr>
        <w:t>ה</w:t>
      </w:r>
      <w:r w:rsidR="00343E4A" w:rsidRPr="001A0B66">
        <w:rPr>
          <w:rFonts w:ascii="FrankRuehl" w:hAnsi="FrankRuehl" w:cs="FrankRuehl"/>
          <w:sz w:val="28"/>
          <w:szCs w:val="28"/>
          <w:rtl/>
        </w:rPr>
        <w:t xml:space="preserve">הליכים </w:t>
      </w:r>
      <w:r w:rsidR="0092455E" w:rsidRPr="001A0B66">
        <w:rPr>
          <w:rFonts w:ascii="FrankRuehl" w:hAnsi="FrankRuehl" w:cs="FrankRuehl"/>
          <w:sz w:val="28"/>
          <w:szCs w:val="28"/>
          <w:rtl/>
        </w:rPr>
        <w:t>שעוסקים ב</w:t>
      </w:r>
      <w:r w:rsidR="00462E8F" w:rsidRPr="001A0B66">
        <w:rPr>
          <w:rFonts w:ascii="FrankRuehl" w:hAnsi="FrankRuehl" w:cs="FrankRuehl"/>
          <w:sz w:val="28"/>
          <w:szCs w:val="28"/>
          <w:rtl/>
        </w:rPr>
        <w:t>אסירים</w:t>
      </w:r>
      <w:r w:rsidRPr="001A0B66">
        <w:rPr>
          <w:rFonts w:ascii="FrankRuehl" w:hAnsi="FrankRuehl" w:cs="FrankRuehl"/>
          <w:sz w:val="28"/>
          <w:szCs w:val="28"/>
          <w:rtl/>
        </w:rPr>
        <w:t xml:space="preserve"> במקרים </w:t>
      </w:r>
      <w:r w:rsidR="005007A4" w:rsidRPr="001A0B66">
        <w:rPr>
          <w:rFonts w:ascii="FrankRuehl" w:hAnsi="FrankRuehl" w:cs="FrankRuehl"/>
          <w:sz w:val="28"/>
          <w:szCs w:val="28"/>
          <w:rtl/>
        </w:rPr>
        <w:t>ש</w:t>
      </w:r>
      <w:r w:rsidRPr="001A0B66">
        <w:rPr>
          <w:rFonts w:ascii="FrankRuehl" w:hAnsi="FrankRuehl" w:cs="FrankRuehl"/>
          <w:sz w:val="28"/>
          <w:szCs w:val="28"/>
          <w:rtl/>
        </w:rPr>
        <w:t>בהם נעשה שימוש בראיות חסויות</w:t>
      </w:r>
      <w:r w:rsidR="00343E4A" w:rsidRPr="001A0B66">
        <w:rPr>
          <w:rFonts w:ascii="FrankRuehl" w:hAnsi="FrankRuehl" w:cs="FrankRuehl"/>
          <w:sz w:val="28"/>
          <w:szCs w:val="28"/>
          <w:rtl/>
        </w:rPr>
        <w:t>.</w:t>
      </w:r>
    </w:p>
    <w:p w14:paraId="66FA6ECE" w14:textId="77777777" w:rsidR="00D66CBB" w:rsidRPr="001A0B66" w:rsidRDefault="000D2217" w:rsidP="00F307FB">
      <w:pPr>
        <w:pStyle w:val="a0"/>
        <w:spacing w:line="276" w:lineRule="auto"/>
        <w:ind w:firstLine="0"/>
        <w:rPr>
          <w:rFonts w:ascii="FrankRuehl" w:hAnsi="FrankRuehl" w:cs="FrankRuehl"/>
          <w:sz w:val="28"/>
          <w:szCs w:val="28"/>
        </w:rPr>
      </w:pPr>
      <w:r w:rsidRPr="001A0B66">
        <w:rPr>
          <w:rFonts w:ascii="FrankRuehl" w:hAnsi="FrankRuehl" w:cs="FrankRuehl"/>
          <w:b/>
          <w:bCs/>
          <w:sz w:val="28"/>
          <w:szCs w:val="28"/>
          <w:rtl/>
        </w:rPr>
        <w:t>מעקב ופיקוח על עברייני מין משוחררים על</w:t>
      </w:r>
      <w:r w:rsidR="00B0426D" w:rsidRPr="001A0B66">
        <w:rPr>
          <w:rFonts w:ascii="FrankRuehl" w:hAnsi="FrankRuehl" w:cs="FrankRuehl"/>
          <w:b/>
          <w:bCs/>
          <w:sz w:val="28"/>
          <w:szCs w:val="28"/>
          <w:rtl/>
        </w:rPr>
        <w:t xml:space="preserve"> </w:t>
      </w:r>
      <w:r w:rsidRPr="001A0B66">
        <w:rPr>
          <w:rFonts w:ascii="FrankRuehl" w:hAnsi="FrankRuehl" w:cs="FrankRuehl"/>
          <w:b/>
          <w:bCs/>
          <w:sz w:val="28"/>
          <w:szCs w:val="28"/>
          <w:rtl/>
        </w:rPr>
        <w:t>בסיס הערכת מסוכנות</w:t>
      </w:r>
      <w:r w:rsidR="00E94228">
        <w:rPr>
          <w:rFonts w:ascii="FrankRuehl" w:hAnsi="FrankRuehl" w:cs="FrankRuehl"/>
          <w:sz w:val="28"/>
          <w:szCs w:val="28"/>
          <w:rtl/>
        </w:rPr>
        <w:t>.</w:t>
      </w:r>
      <w:r w:rsidRPr="001A0B66">
        <w:rPr>
          <w:rFonts w:ascii="FrankRuehl" w:hAnsi="FrankRuehl" w:cs="FrankRuehl"/>
          <w:sz w:val="28"/>
          <w:szCs w:val="28"/>
          <w:rtl/>
        </w:rPr>
        <w:t xml:space="preserve"> הן הערכת המסוכנות </w:t>
      </w:r>
      <w:r w:rsidR="00A62BD0" w:rsidRPr="001A0B66">
        <w:rPr>
          <w:rFonts w:ascii="FrankRuehl" w:hAnsi="FrankRuehl" w:cs="FrankRuehl"/>
          <w:sz w:val="28"/>
          <w:szCs w:val="28"/>
          <w:rtl/>
        </w:rPr>
        <w:t xml:space="preserve">של עבריין מין משוחרר </w:t>
      </w:r>
      <w:r w:rsidRPr="001A0B66">
        <w:rPr>
          <w:rFonts w:ascii="FrankRuehl" w:hAnsi="FrankRuehl" w:cs="FrankRuehl"/>
          <w:sz w:val="28"/>
          <w:szCs w:val="28"/>
          <w:rtl/>
        </w:rPr>
        <w:t>והן הפיקוח והמעקב המופעלים</w:t>
      </w:r>
      <w:r w:rsidR="00B0426D" w:rsidRPr="001A0B66">
        <w:rPr>
          <w:rFonts w:ascii="FrankRuehl" w:hAnsi="FrankRuehl" w:cs="FrankRuehl"/>
          <w:sz w:val="28"/>
          <w:szCs w:val="28"/>
          <w:rtl/>
        </w:rPr>
        <w:t xml:space="preserve"> בעקבות</w:t>
      </w:r>
      <w:r w:rsidR="00A62BD0" w:rsidRPr="001A0B66">
        <w:rPr>
          <w:rFonts w:ascii="FrankRuehl" w:hAnsi="FrankRuehl" w:cs="FrankRuehl"/>
          <w:sz w:val="28"/>
          <w:szCs w:val="28"/>
          <w:rtl/>
        </w:rPr>
        <w:t xml:space="preserve"> כך</w:t>
      </w:r>
      <w:r w:rsidRPr="001A0B66">
        <w:rPr>
          <w:rFonts w:ascii="FrankRuehl" w:hAnsi="FrankRuehl" w:cs="FrankRuehl"/>
          <w:sz w:val="28"/>
          <w:szCs w:val="28"/>
          <w:rtl/>
        </w:rPr>
        <w:t xml:space="preserve"> יכולים לכלול אלמנטים חסויים, ו</w:t>
      </w:r>
      <w:r w:rsidR="00A62BD0" w:rsidRPr="001A0B66">
        <w:rPr>
          <w:rFonts w:ascii="FrankRuehl" w:hAnsi="FrankRuehl" w:cs="FrankRuehl"/>
          <w:sz w:val="28"/>
          <w:szCs w:val="28"/>
          <w:rtl/>
        </w:rPr>
        <w:t xml:space="preserve">הם עלולים לגרום להטלת </w:t>
      </w:r>
      <w:r w:rsidRPr="001A0B66">
        <w:rPr>
          <w:rFonts w:ascii="FrankRuehl" w:hAnsi="FrankRuehl" w:cs="FrankRuehl"/>
          <w:sz w:val="28"/>
          <w:szCs w:val="28"/>
          <w:rtl/>
        </w:rPr>
        <w:t xml:space="preserve">מגבלות מרחיקות לכת על </w:t>
      </w:r>
      <w:r w:rsidR="00A62BD0" w:rsidRPr="001A0B66">
        <w:rPr>
          <w:rFonts w:ascii="FrankRuehl" w:hAnsi="FrankRuehl" w:cs="FrankRuehl"/>
          <w:sz w:val="28"/>
          <w:szCs w:val="28"/>
          <w:rtl/>
        </w:rPr>
        <w:t>אותו אדם</w:t>
      </w:r>
      <w:r w:rsidRPr="001A0B66">
        <w:rPr>
          <w:rFonts w:ascii="FrankRuehl" w:hAnsi="FrankRuehl" w:cs="FrankRuehl"/>
          <w:sz w:val="28"/>
          <w:szCs w:val="28"/>
          <w:rtl/>
        </w:rPr>
        <w:t xml:space="preserve"> לאחר שכבר ריצ</w:t>
      </w:r>
      <w:r w:rsidR="00A62BD0" w:rsidRPr="001A0B66">
        <w:rPr>
          <w:rFonts w:ascii="FrankRuehl" w:hAnsi="FrankRuehl" w:cs="FrankRuehl"/>
          <w:sz w:val="28"/>
          <w:szCs w:val="28"/>
          <w:rtl/>
        </w:rPr>
        <w:t>ה את עונשו</w:t>
      </w:r>
      <w:r w:rsidRPr="001A0B66">
        <w:rPr>
          <w:rFonts w:ascii="FrankRuehl" w:hAnsi="FrankRuehl" w:cs="FrankRuehl"/>
          <w:sz w:val="28"/>
          <w:szCs w:val="28"/>
          <w:rtl/>
        </w:rPr>
        <w:t xml:space="preserve">, </w:t>
      </w:r>
      <w:r w:rsidR="005007A4" w:rsidRPr="001A0B66">
        <w:rPr>
          <w:rFonts w:ascii="FrankRuehl" w:hAnsi="FrankRuehl" w:cs="FrankRuehl"/>
          <w:sz w:val="28"/>
          <w:szCs w:val="28"/>
          <w:rtl/>
        </w:rPr>
        <w:t xml:space="preserve">מבלי שיינתנו לו </w:t>
      </w:r>
      <w:r w:rsidR="00B0426D" w:rsidRPr="001A0B66">
        <w:rPr>
          <w:rFonts w:ascii="FrankRuehl" w:hAnsi="FrankRuehl" w:cs="FrankRuehl"/>
          <w:sz w:val="28"/>
          <w:szCs w:val="28"/>
          <w:rtl/>
        </w:rPr>
        <w:t xml:space="preserve">זכות טיעון או </w:t>
      </w:r>
      <w:r w:rsidRPr="001A0B66">
        <w:rPr>
          <w:rFonts w:ascii="FrankRuehl" w:hAnsi="FrankRuehl" w:cs="FrankRuehl"/>
          <w:sz w:val="28"/>
          <w:szCs w:val="28"/>
          <w:rtl/>
        </w:rPr>
        <w:t>ייצוג בהליכים.</w:t>
      </w:r>
      <w:r w:rsidRPr="001A0B66">
        <w:rPr>
          <w:rStyle w:val="FootnoteReference"/>
          <w:rFonts w:ascii="FrankRuehl" w:hAnsi="FrankRuehl" w:cs="FrankRuehl"/>
          <w:sz w:val="28"/>
          <w:szCs w:val="28"/>
          <w:rtl/>
        </w:rPr>
        <w:footnoteReference w:id="157"/>
      </w:r>
      <w:r w:rsidRPr="001A0B66">
        <w:rPr>
          <w:rFonts w:ascii="FrankRuehl" w:hAnsi="FrankRuehl" w:cs="FrankRuehl"/>
          <w:sz w:val="28"/>
          <w:szCs w:val="28"/>
          <w:rtl/>
        </w:rPr>
        <w:t xml:space="preserve"> </w:t>
      </w:r>
    </w:p>
    <w:p w14:paraId="3079B6D8" w14:textId="77777777" w:rsidR="00D66CBB" w:rsidRPr="001A0B66" w:rsidRDefault="006820A0" w:rsidP="00F307FB">
      <w:pPr>
        <w:pStyle w:val="a0"/>
        <w:spacing w:line="276" w:lineRule="auto"/>
        <w:ind w:firstLine="0"/>
        <w:rPr>
          <w:rFonts w:ascii="FrankRuehl" w:hAnsi="FrankRuehl" w:cs="FrankRuehl"/>
          <w:sz w:val="28"/>
          <w:szCs w:val="28"/>
          <w:rtl/>
        </w:rPr>
      </w:pPr>
      <w:r w:rsidRPr="001A0B66">
        <w:rPr>
          <w:rFonts w:ascii="FrankRuehl" w:hAnsi="FrankRuehl" w:cs="FrankRuehl"/>
          <w:b/>
          <w:bCs/>
          <w:sz w:val="28"/>
          <w:szCs w:val="28"/>
          <w:rtl/>
        </w:rPr>
        <w:lastRenderedPageBreak/>
        <w:t>ראיות חסויות בהליכים פליליים</w:t>
      </w:r>
      <w:r w:rsidR="00E94228">
        <w:rPr>
          <w:rFonts w:ascii="FrankRuehl" w:hAnsi="FrankRuehl" w:cs="FrankRuehl"/>
          <w:sz w:val="28"/>
          <w:szCs w:val="28"/>
          <w:rtl/>
        </w:rPr>
        <w:t>.</w:t>
      </w:r>
      <w:r w:rsidR="005007A4" w:rsidRPr="001A0B66">
        <w:rPr>
          <w:rFonts w:ascii="FrankRuehl" w:hAnsi="FrankRuehl" w:cs="FrankRuehl"/>
          <w:sz w:val="28"/>
          <w:szCs w:val="28"/>
          <w:rtl/>
        </w:rPr>
        <w:t xml:space="preserve"> </w:t>
      </w:r>
      <w:r w:rsidR="00D66CBB" w:rsidRPr="001A0B66">
        <w:rPr>
          <w:rFonts w:ascii="FrankRuehl" w:hAnsi="FrankRuehl" w:cs="FrankRuehl"/>
          <w:sz w:val="28"/>
          <w:szCs w:val="28"/>
          <w:rtl/>
        </w:rPr>
        <w:t>בעינינו</w:t>
      </w:r>
      <w:r w:rsidR="005007A4" w:rsidRPr="001A0B66">
        <w:rPr>
          <w:rFonts w:ascii="FrankRuehl" w:hAnsi="FrankRuehl" w:cs="FrankRuehl"/>
          <w:sz w:val="28"/>
          <w:szCs w:val="28"/>
          <w:rtl/>
        </w:rPr>
        <w:t xml:space="preserve"> יש הצדקה</w:t>
      </w:r>
      <w:r w:rsidR="00D66CBB" w:rsidRPr="001A0B66">
        <w:rPr>
          <w:rFonts w:ascii="FrankRuehl" w:hAnsi="FrankRuehl" w:cs="FrankRuehl"/>
          <w:sz w:val="28"/>
          <w:szCs w:val="28"/>
          <w:rtl/>
        </w:rPr>
        <w:t xml:space="preserve"> לשימוש בעורכי דין מיוחדים גם </w:t>
      </w:r>
      <w:r w:rsidR="00F12564" w:rsidRPr="001A0B66">
        <w:rPr>
          <w:rFonts w:ascii="FrankRuehl" w:hAnsi="FrankRuehl" w:cs="FrankRuehl"/>
          <w:sz w:val="28"/>
          <w:szCs w:val="28"/>
          <w:rtl/>
        </w:rPr>
        <w:t xml:space="preserve">בגדרו של </w:t>
      </w:r>
      <w:r w:rsidR="00015CD7" w:rsidRPr="001A0B66">
        <w:rPr>
          <w:rFonts w:ascii="FrankRuehl" w:hAnsi="FrankRuehl" w:cs="FrankRuehl"/>
          <w:sz w:val="28"/>
          <w:szCs w:val="28"/>
          <w:rtl/>
        </w:rPr>
        <w:t>הנתיב המשני לשימוש בראיות חסויות</w:t>
      </w:r>
      <w:r w:rsidR="005007A4" w:rsidRPr="001A0B66">
        <w:rPr>
          <w:rFonts w:ascii="FrankRuehl" w:hAnsi="FrankRuehl" w:cs="FrankRuehl"/>
          <w:sz w:val="28"/>
          <w:szCs w:val="28"/>
          <w:rtl/>
        </w:rPr>
        <w:t xml:space="preserve">, </w:t>
      </w:r>
      <w:r w:rsidR="00D6332F" w:rsidRPr="001A0B66">
        <w:rPr>
          <w:rFonts w:ascii="FrankRuehl" w:hAnsi="FrankRuehl" w:cs="FrankRuehl"/>
          <w:sz w:val="28"/>
          <w:szCs w:val="28"/>
          <w:rtl/>
        </w:rPr>
        <w:t>כלומר</w:t>
      </w:r>
      <w:r w:rsidR="00F12564" w:rsidRPr="001A0B66">
        <w:rPr>
          <w:rFonts w:ascii="FrankRuehl" w:hAnsi="FrankRuehl" w:cs="FrankRuehl"/>
          <w:sz w:val="28"/>
          <w:szCs w:val="28"/>
          <w:rtl/>
        </w:rPr>
        <w:t xml:space="preserve"> </w:t>
      </w:r>
      <w:r w:rsidR="00D66CBB" w:rsidRPr="001A0B66">
        <w:rPr>
          <w:rFonts w:ascii="FrankRuehl" w:hAnsi="FrankRuehl" w:cs="FrankRuehl"/>
          <w:sz w:val="28"/>
          <w:szCs w:val="28"/>
          <w:rtl/>
        </w:rPr>
        <w:t>בגדרם של הליכים פליליים ש</w:t>
      </w:r>
      <w:r w:rsidR="00992478" w:rsidRPr="001A0B66">
        <w:rPr>
          <w:rFonts w:ascii="FrankRuehl" w:hAnsi="FrankRuehl" w:cs="FrankRuehl"/>
          <w:sz w:val="28"/>
          <w:szCs w:val="28"/>
          <w:rtl/>
        </w:rPr>
        <w:t>ב</w:t>
      </w:r>
      <w:r w:rsidR="00D66CBB" w:rsidRPr="001A0B66">
        <w:rPr>
          <w:rFonts w:ascii="FrankRuehl" w:hAnsi="FrankRuehl" w:cs="FrankRuehl"/>
          <w:sz w:val="28"/>
          <w:szCs w:val="28"/>
          <w:rtl/>
        </w:rPr>
        <w:t>הם מופעלת תעודת חיסיון</w:t>
      </w:r>
      <w:r w:rsidR="00B64F00" w:rsidRPr="001A0B66">
        <w:rPr>
          <w:rFonts w:ascii="FrankRuehl" w:hAnsi="FrankRuehl" w:cs="FrankRuehl"/>
          <w:sz w:val="28"/>
          <w:szCs w:val="28"/>
          <w:rtl/>
        </w:rPr>
        <w:t>.</w:t>
      </w:r>
      <w:r w:rsidR="00B64F00" w:rsidRPr="001A0B66">
        <w:rPr>
          <w:rFonts w:ascii="FrankRuehl" w:hAnsi="FrankRuehl" w:cs="FrankRuehl"/>
          <w:sz w:val="28"/>
          <w:szCs w:val="28"/>
          <w:vertAlign w:val="superscript"/>
          <w:rtl/>
        </w:rPr>
        <w:footnoteReference w:id="158"/>
      </w:r>
      <w:r w:rsidR="00B64F00" w:rsidRPr="001A0B66">
        <w:rPr>
          <w:rFonts w:ascii="FrankRuehl" w:hAnsi="FrankRuehl" w:cs="FrankRuehl"/>
          <w:sz w:val="28"/>
          <w:szCs w:val="28"/>
          <w:rtl/>
        </w:rPr>
        <w:t xml:space="preserve"> </w:t>
      </w:r>
      <w:r w:rsidR="00D66CBB" w:rsidRPr="001A0B66">
        <w:rPr>
          <w:rFonts w:ascii="FrankRuehl" w:hAnsi="FrankRuehl" w:cs="FrankRuehl"/>
          <w:sz w:val="28"/>
          <w:szCs w:val="28"/>
          <w:rtl/>
        </w:rPr>
        <w:t>א</w:t>
      </w:r>
      <w:r w:rsidR="000867B6" w:rsidRPr="001A0B66">
        <w:rPr>
          <w:rFonts w:ascii="FrankRuehl" w:hAnsi="FrankRuehl" w:cs="FrankRuehl"/>
          <w:sz w:val="28"/>
          <w:szCs w:val="28"/>
          <w:rtl/>
        </w:rPr>
        <w:t>ו</w:t>
      </w:r>
      <w:r w:rsidR="00D66CBB" w:rsidRPr="001A0B66">
        <w:rPr>
          <w:rFonts w:ascii="FrankRuehl" w:hAnsi="FrankRuehl" w:cs="FrankRuehl"/>
          <w:sz w:val="28"/>
          <w:szCs w:val="28"/>
          <w:rtl/>
        </w:rPr>
        <w:t xml:space="preserve">מנם, כאמור </w:t>
      </w:r>
      <w:r w:rsidR="00175F4A" w:rsidRPr="001A0B66">
        <w:rPr>
          <w:rFonts w:ascii="FrankRuehl" w:hAnsi="FrankRuehl" w:cs="FrankRuehl"/>
          <w:sz w:val="28"/>
          <w:szCs w:val="28"/>
          <w:rtl/>
        </w:rPr>
        <w:t>בפתח המאמר</w:t>
      </w:r>
      <w:r w:rsidR="00D66CBB" w:rsidRPr="001A0B66">
        <w:rPr>
          <w:rFonts w:ascii="FrankRuehl" w:hAnsi="FrankRuehl" w:cs="FrankRuehl"/>
          <w:sz w:val="28"/>
          <w:szCs w:val="28"/>
          <w:rtl/>
        </w:rPr>
        <w:t xml:space="preserve">, </w:t>
      </w:r>
      <w:r w:rsidR="00A62BD0" w:rsidRPr="001A0B66">
        <w:rPr>
          <w:rFonts w:ascii="FrankRuehl" w:hAnsi="FrankRuehl" w:cs="FrankRuehl"/>
          <w:sz w:val="28"/>
          <w:szCs w:val="28"/>
          <w:rtl/>
        </w:rPr>
        <w:t xml:space="preserve">בהקשרו של אישום פלילי </w:t>
      </w:r>
      <w:r w:rsidR="00D66CBB" w:rsidRPr="001A0B66">
        <w:rPr>
          <w:rFonts w:ascii="FrankRuehl" w:hAnsi="FrankRuehl" w:cs="FrankRuehl"/>
          <w:sz w:val="28"/>
          <w:szCs w:val="28"/>
          <w:rtl/>
        </w:rPr>
        <w:t xml:space="preserve">יש לבית המשפט תפקיד </w:t>
      </w:r>
      <w:r w:rsidR="005007A4" w:rsidRPr="001A0B66">
        <w:rPr>
          <w:rFonts w:ascii="FrankRuehl" w:hAnsi="FrankRuehl" w:cs="FrankRuehl"/>
          <w:sz w:val="28"/>
          <w:szCs w:val="28"/>
          <w:rtl/>
        </w:rPr>
        <w:t xml:space="preserve">פעיל </w:t>
      </w:r>
      <w:r w:rsidR="00D66CBB" w:rsidRPr="001A0B66">
        <w:rPr>
          <w:rFonts w:ascii="FrankRuehl" w:hAnsi="FrankRuehl" w:cs="FrankRuehl"/>
          <w:sz w:val="28"/>
          <w:szCs w:val="28"/>
          <w:rtl/>
        </w:rPr>
        <w:t xml:space="preserve">מודגש, </w:t>
      </w:r>
      <w:r w:rsidR="004D1B2F" w:rsidRPr="001A0B66">
        <w:rPr>
          <w:rFonts w:ascii="FrankRuehl" w:hAnsi="FrankRuehl" w:cs="FrankRuehl"/>
          <w:sz w:val="28"/>
          <w:szCs w:val="28"/>
          <w:rtl/>
        </w:rPr>
        <w:t xml:space="preserve">והוא </w:t>
      </w:r>
      <w:r w:rsidR="00D66CBB" w:rsidRPr="001A0B66">
        <w:rPr>
          <w:rFonts w:ascii="FrankRuehl" w:hAnsi="FrankRuehl" w:cs="FrankRuehl"/>
          <w:sz w:val="28"/>
          <w:szCs w:val="28"/>
          <w:rtl/>
        </w:rPr>
        <w:t>לבחון</w:t>
      </w:r>
      <w:r w:rsidR="00F12564" w:rsidRPr="001A0B66">
        <w:rPr>
          <w:rFonts w:ascii="FrankRuehl" w:hAnsi="FrankRuehl" w:cs="FrankRuehl"/>
          <w:sz w:val="28"/>
          <w:szCs w:val="28"/>
          <w:rtl/>
        </w:rPr>
        <w:t xml:space="preserve"> </w:t>
      </w:r>
      <w:r w:rsidR="00D66CBB" w:rsidRPr="001A0B66">
        <w:rPr>
          <w:rFonts w:ascii="FrankRuehl" w:hAnsi="FrankRuehl" w:cs="FrankRuehl"/>
          <w:sz w:val="28"/>
          <w:szCs w:val="28"/>
          <w:rtl/>
        </w:rPr>
        <w:t xml:space="preserve">אם הראיות </w:t>
      </w:r>
      <w:proofErr w:type="spellStart"/>
      <w:r w:rsidR="00D66CBB" w:rsidRPr="001A0B66">
        <w:rPr>
          <w:rFonts w:ascii="FrankRuehl" w:hAnsi="FrankRuehl" w:cs="FrankRuehl"/>
          <w:sz w:val="28"/>
          <w:szCs w:val="28"/>
          <w:rtl/>
        </w:rPr>
        <w:t>שנחסו</w:t>
      </w:r>
      <w:proofErr w:type="spellEnd"/>
      <w:r w:rsidR="00D66CBB" w:rsidRPr="001A0B66">
        <w:rPr>
          <w:rFonts w:ascii="FrankRuehl" w:hAnsi="FrankRuehl" w:cs="FrankRuehl"/>
          <w:sz w:val="28"/>
          <w:szCs w:val="28"/>
          <w:rtl/>
        </w:rPr>
        <w:t xml:space="preserve"> חיוניות להגנת הנאשם</w:t>
      </w:r>
      <w:r w:rsidR="004D1B2F" w:rsidRPr="001A0B66">
        <w:rPr>
          <w:rFonts w:ascii="FrankRuehl" w:hAnsi="FrankRuehl" w:cs="FrankRuehl"/>
          <w:sz w:val="28"/>
          <w:szCs w:val="28"/>
          <w:rtl/>
        </w:rPr>
        <w:t xml:space="preserve">. </w:t>
      </w:r>
      <w:r w:rsidR="00175F4A" w:rsidRPr="001A0B66">
        <w:rPr>
          <w:rFonts w:ascii="FrankRuehl" w:hAnsi="FrankRuehl" w:cs="FrankRuehl"/>
          <w:sz w:val="28"/>
          <w:szCs w:val="28"/>
          <w:rtl/>
        </w:rPr>
        <w:t>עם זאת, מהלך זה של בירור על ידי בית המשפט נעשה במעמד צד אחר ומלוות אותו הרעות הח</w:t>
      </w:r>
      <w:r w:rsidR="00B14A47" w:rsidRPr="001A0B66">
        <w:rPr>
          <w:rFonts w:ascii="FrankRuehl" w:hAnsi="FrankRuehl" w:cs="FrankRuehl"/>
          <w:sz w:val="28"/>
          <w:szCs w:val="28"/>
          <w:rtl/>
        </w:rPr>
        <w:t>ו</w:t>
      </w:r>
      <w:r w:rsidR="00175F4A" w:rsidRPr="001A0B66">
        <w:rPr>
          <w:rFonts w:ascii="FrankRuehl" w:hAnsi="FrankRuehl" w:cs="FrankRuehl"/>
          <w:sz w:val="28"/>
          <w:szCs w:val="28"/>
          <w:rtl/>
        </w:rPr>
        <w:t xml:space="preserve">לות שנדונו </w:t>
      </w:r>
      <w:r w:rsidR="00B14A47" w:rsidRPr="001A0B66">
        <w:rPr>
          <w:rFonts w:ascii="FrankRuehl" w:hAnsi="FrankRuehl" w:cs="FrankRuehl"/>
          <w:sz w:val="28"/>
          <w:szCs w:val="28"/>
          <w:rtl/>
        </w:rPr>
        <w:t xml:space="preserve">לעיל </w:t>
      </w:r>
      <w:r w:rsidR="00175F4A" w:rsidRPr="001A0B66">
        <w:rPr>
          <w:rFonts w:ascii="FrankRuehl" w:hAnsi="FrankRuehl" w:cs="FrankRuehl"/>
          <w:sz w:val="28"/>
          <w:szCs w:val="28"/>
          <w:rtl/>
        </w:rPr>
        <w:t>באריכות</w:t>
      </w:r>
      <w:r w:rsidR="00B14A47" w:rsidRPr="001A0B66">
        <w:rPr>
          <w:rFonts w:ascii="FrankRuehl" w:hAnsi="FrankRuehl" w:cs="FrankRuehl"/>
          <w:sz w:val="28"/>
          <w:szCs w:val="28"/>
          <w:rtl/>
        </w:rPr>
        <w:t xml:space="preserve">. </w:t>
      </w:r>
      <w:r w:rsidR="00015CD7" w:rsidRPr="001A0B66">
        <w:rPr>
          <w:rFonts w:ascii="FrankRuehl" w:hAnsi="FrankRuehl" w:cs="FrankRuehl"/>
          <w:sz w:val="28"/>
          <w:szCs w:val="28"/>
          <w:rtl/>
        </w:rPr>
        <w:t xml:space="preserve">הפרשה </w:t>
      </w:r>
      <w:r w:rsidR="005007A4" w:rsidRPr="001A0B66">
        <w:rPr>
          <w:rFonts w:ascii="FrankRuehl" w:hAnsi="FrankRuehl" w:cs="FrankRuehl"/>
          <w:sz w:val="28"/>
          <w:szCs w:val="28"/>
          <w:rtl/>
        </w:rPr>
        <w:t>ש</w:t>
      </w:r>
      <w:r w:rsidR="00015CD7" w:rsidRPr="001A0B66">
        <w:rPr>
          <w:rFonts w:ascii="FrankRuehl" w:hAnsi="FrankRuehl" w:cs="FrankRuehl"/>
          <w:sz w:val="28"/>
          <w:szCs w:val="28"/>
          <w:rtl/>
        </w:rPr>
        <w:t xml:space="preserve">אותה גוללנו לעיל, </w:t>
      </w:r>
      <w:r w:rsidR="00015CD7" w:rsidRPr="001A0B66">
        <w:rPr>
          <w:rFonts w:ascii="FrankRuehl" w:hAnsi="FrankRuehl" w:cs="FrankRuehl"/>
          <w:b/>
          <w:bCs/>
          <w:sz w:val="28"/>
          <w:szCs w:val="28"/>
          <w:rtl/>
        </w:rPr>
        <w:t>אבו ס</w:t>
      </w:r>
      <w:r w:rsidR="00042281" w:rsidRPr="001A0B66">
        <w:rPr>
          <w:rFonts w:ascii="FrankRuehl" w:hAnsi="FrankRuehl" w:cs="FrankRuehl"/>
          <w:b/>
          <w:bCs/>
          <w:sz w:val="28"/>
          <w:szCs w:val="28"/>
          <w:rtl/>
        </w:rPr>
        <w:t>עדה</w:t>
      </w:r>
      <w:r w:rsidR="00015CD7" w:rsidRPr="001A0B66">
        <w:rPr>
          <w:rFonts w:ascii="FrankRuehl" w:hAnsi="FrankRuehl" w:cs="FrankRuehl"/>
          <w:sz w:val="28"/>
          <w:szCs w:val="28"/>
          <w:rtl/>
        </w:rPr>
        <w:t>, הדגימה זאת באופן חד במיוחד.</w:t>
      </w:r>
      <w:r w:rsidR="004D1B2F" w:rsidRPr="001A0B66">
        <w:rPr>
          <w:rStyle w:val="FootnoteReference"/>
          <w:rFonts w:ascii="FrankRuehl" w:hAnsi="FrankRuehl" w:cs="FrankRuehl"/>
          <w:sz w:val="28"/>
          <w:szCs w:val="28"/>
          <w:rtl/>
        </w:rPr>
        <w:footnoteReference w:id="159"/>
      </w:r>
      <w:r w:rsidR="005B5678" w:rsidRPr="001A0B66">
        <w:rPr>
          <w:rFonts w:ascii="FrankRuehl" w:hAnsi="FrankRuehl" w:cs="FrankRuehl"/>
          <w:sz w:val="28"/>
          <w:szCs w:val="28"/>
          <w:rtl/>
        </w:rPr>
        <w:t xml:space="preserve"> </w:t>
      </w:r>
      <w:r w:rsidR="0040367B" w:rsidRPr="001A0B66">
        <w:rPr>
          <w:rFonts w:ascii="FrankRuehl" w:hAnsi="FrankRuehl" w:cs="FrankRuehl"/>
          <w:sz w:val="28"/>
          <w:szCs w:val="28"/>
          <w:rtl/>
        </w:rPr>
        <w:t>אשר על כן, עורך דין מיוחד שיכיר את הראיות הללו יוכל לתרום תרומה של ממש למתן מענה נכון על ידי בית המשפט.</w:t>
      </w:r>
    </w:p>
    <w:p w14:paraId="4868466C" w14:textId="77777777" w:rsidR="00DE4F51" w:rsidRPr="001A0B66" w:rsidRDefault="00EA6070"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בקצרה, </w:t>
      </w:r>
      <w:r w:rsidR="003B4A8A" w:rsidRPr="001A0B66">
        <w:rPr>
          <w:rFonts w:ascii="FrankRuehl" w:hAnsi="FrankRuehl" w:cs="FrankRuehl"/>
          <w:sz w:val="28"/>
          <w:szCs w:val="28"/>
          <w:rtl/>
        </w:rPr>
        <w:t>ומבלי לקבוע מסמרות</w:t>
      </w:r>
      <w:r w:rsidR="00622C67" w:rsidRPr="001A0B66">
        <w:rPr>
          <w:rFonts w:ascii="FrankRuehl" w:hAnsi="FrankRuehl" w:cs="FrankRuehl"/>
          <w:sz w:val="28"/>
          <w:szCs w:val="28"/>
          <w:rtl/>
        </w:rPr>
        <w:t xml:space="preserve"> (</w:t>
      </w:r>
      <w:r w:rsidR="003B4A8A" w:rsidRPr="001A0B66">
        <w:rPr>
          <w:rFonts w:ascii="FrankRuehl" w:hAnsi="FrankRuehl" w:cs="FrankRuehl"/>
          <w:sz w:val="28"/>
          <w:szCs w:val="28"/>
          <w:rtl/>
        </w:rPr>
        <w:t xml:space="preserve">שכן </w:t>
      </w:r>
      <w:r w:rsidR="005007A4" w:rsidRPr="001A0B66">
        <w:rPr>
          <w:rFonts w:ascii="FrankRuehl" w:hAnsi="FrankRuehl" w:cs="FrankRuehl"/>
          <w:sz w:val="28"/>
          <w:szCs w:val="28"/>
          <w:rtl/>
        </w:rPr>
        <w:t xml:space="preserve">בסוגיה זו </w:t>
      </w:r>
      <w:r w:rsidR="003B4A8A" w:rsidRPr="001A0B66">
        <w:rPr>
          <w:rFonts w:ascii="FrankRuehl" w:hAnsi="FrankRuehl" w:cs="FrankRuehl"/>
          <w:sz w:val="28"/>
          <w:szCs w:val="28"/>
          <w:rtl/>
        </w:rPr>
        <w:t>מתחייב בכל זאת ליבון מקיף יותר מזה שהתקיים כאן</w:t>
      </w:r>
      <w:r w:rsidR="00622C67" w:rsidRPr="001A0B66">
        <w:rPr>
          <w:rFonts w:ascii="FrankRuehl" w:hAnsi="FrankRuehl" w:cs="FrankRuehl"/>
          <w:sz w:val="28"/>
          <w:szCs w:val="28"/>
          <w:rtl/>
        </w:rPr>
        <w:t>)</w:t>
      </w:r>
      <w:r w:rsidR="003B4A8A" w:rsidRPr="001A0B66">
        <w:rPr>
          <w:rFonts w:ascii="FrankRuehl" w:hAnsi="FrankRuehl" w:cs="FrankRuehl"/>
          <w:sz w:val="28"/>
          <w:szCs w:val="28"/>
          <w:rtl/>
        </w:rPr>
        <w:t xml:space="preserve">, </w:t>
      </w:r>
      <w:r w:rsidR="00A47B20" w:rsidRPr="001A0B66">
        <w:rPr>
          <w:rFonts w:ascii="FrankRuehl" w:hAnsi="FrankRuehl" w:cs="FrankRuehl"/>
          <w:sz w:val="28"/>
          <w:szCs w:val="28"/>
          <w:rtl/>
        </w:rPr>
        <w:t xml:space="preserve">אנו </w:t>
      </w:r>
      <w:r w:rsidR="005007A4" w:rsidRPr="001A0B66">
        <w:rPr>
          <w:rFonts w:ascii="FrankRuehl" w:hAnsi="FrankRuehl" w:cs="FrankRuehl"/>
          <w:sz w:val="28"/>
          <w:szCs w:val="28"/>
          <w:rtl/>
        </w:rPr>
        <w:t>תומכים ב</w:t>
      </w:r>
      <w:r w:rsidR="00A47B20" w:rsidRPr="001A0B66">
        <w:rPr>
          <w:rFonts w:ascii="FrankRuehl" w:hAnsi="FrankRuehl" w:cs="FrankRuehl"/>
          <w:sz w:val="28"/>
          <w:szCs w:val="28"/>
          <w:rtl/>
        </w:rPr>
        <w:t xml:space="preserve">הרחבת מוסד עורכי הדין המיוחדים </w:t>
      </w:r>
      <w:r w:rsidR="00A47B20" w:rsidRPr="001A0B66">
        <w:rPr>
          <w:rFonts w:ascii="FrankRuehl" w:hAnsi="FrankRuehl" w:cs="FrankRuehl"/>
          <w:b/>
          <w:bCs/>
          <w:sz w:val="28"/>
          <w:szCs w:val="28"/>
          <w:rtl/>
        </w:rPr>
        <w:t xml:space="preserve">לכל </w:t>
      </w:r>
      <w:r w:rsidR="005007A4" w:rsidRPr="001A0B66">
        <w:rPr>
          <w:rFonts w:ascii="FrankRuehl" w:hAnsi="FrankRuehl" w:cs="FrankRuehl"/>
          <w:b/>
          <w:bCs/>
          <w:sz w:val="28"/>
          <w:szCs w:val="28"/>
          <w:rtl/>
        </w:rPr>
        <w:t>מצב</w:t>
      </w:r>
      <w:r w:rsidR="005007A4" w:rsidRPr="001A0B66">
        <w:rPr>
          <w:rFonts w:ascii="FrankRuehl" w:hAnsi="FrankRuehl" w:cs="FrankRuehl"/>
          <w:sz w:val="28"/>
          <w:szCs w:val="28"/>
          <w:rtl/>
        </w:rPr>
        <w:t xml:space="preserve"> </w:t>
      </w:r>
      <w:r w:rsidR="00A47B20" w:rsidRPr="001A0B66">
        <w:rPr>
          <w:rFonts w:ascii="FrankRuehl" w:hAnsi="FrankRuehl" w:cs="FrankRuehl"/>
          <w:sz w:val="28"/>
          <w:szCs w:val="28"/>
          <w:rtl/>
        </w:rPr>
        <w:t>של שימוש בחומר חסוי כבסיס להט</w:t>
      </w:r>
      <w:r w:rsidR="006E7488" w:rsidRPr="001A0B66">
        <w:rPr>
          <w:rFonts w:ascii="FrankRuehl" w:hAnsi="FrankRuehl" w:cs="FrankRuehl"/>
          <w:sz w:val="28"/>
          <w:szCs w:val="28"/>
          <w:rtl/>
        </w:rPr>
        <w:t>י</w:t>
      </w:r>
      <w:r w:rsidR="00A47B20" w:rsidRPr="001A0B66">
        <w:rPr>
          <w:rFonts w:ascii="FrankRuehl" w:hAnsi="FrankRuehl" w:cs="FrankRuehl"/>
          <w:sz w:val="28"/>
          <w:szCs w:val="28"/>
          <w:rtl/>
        </w:rPr>
        <w:t>ל</w:t>
      </w:r>
      <w:r w:rsidR="006E7488" w:rsidRPr="001A0B66">
        <w:rPr>
          <w:rFonts w:ascii="FrankRuehl" w:hAnsi="FrankRuehl" w:cs="FrankRuehl"/>
          <w:sz w:val="28"/>
          <w:szCs w:val="28"/>
          <w:rtl/>
        </w:rPr>
        <w:t xml:space="preserve"> (או להמשיך להפעיל) </w:t>
      </w:r>
      <w:r w:rsidR="00A47B20" w:rsidRPr="001A0B66">
        <w:rPr>
          <w:rFonts w:ascii="FrankRuehl" w:hAnsi="FrankRuehl" w:cs="FrankRuehl"/>
          <w:sz w:val="28"/>
          <w:szCs w:val="28"/>
          <w:rtl/>
        </w:rPr>
        <w:t xml:space="preserve">הגבלה </w:t>
      </w:r>
      <w:r w:rsidR="006E7488" w:rsidRPr="001A0B66">
        <w:rPr>
          <w:rFonts w:ascii="FrankRuehl" w:hAnsi="FrankRuehl" w:cs="FrankRuehl"/>
          <w:sz w:val="28"/>
          <w:szCs w:val="28"/>
          <w:rtl/>
        </w:rPr>
        <w:t>מ</w:t>
      </w:r>
      <w:r w:rsidR="006F7B0C" w:rsidRPr="001A0B66">
        <w:rPr>
          <w:rFonts w:ascii="FrankRuehl" w:hAnsi="FrankRuehl" w:cs="FrankRuehl"/>
          <w:sz w:val="28"/>
          <w:szCs w:val="28"/>
          <w:rtl/>
        </w:rPr>
        <w:t>משית</w:t>
      </w:r>
      <w:r w:rsidR="00A47B20" w:rsidRPr="001A0B66">
        <w:rPr>
          <w:rFonts w:ascii="FrankRuehl" w:hAnsi="FrankRuehl" w:cs="FrankRuehl"/>
          <w:sz w:val="28"/>
          <w:szCs w:val="28"/>
          <w:rtl/>
        </w:rPr>
        <w:t xml:space="preserve"> על זכויות אדם.</w:t>
      </w:r>
      <w:r w:rsidR="00BA78F8" w:rsidRPr="001A0B66">
        <w:rPr>
          <w:rFonts w:ascii="FrankRuehl" w:hAnsi="FrankRuehl" w:cs="FrankRuehl"/>
          <w:sz w:val="28"/>
          <w:szCs w:val="28"/>
          <w:rtl/>
        </w:rPr>
        <w:t xml:space="preserve"> בחלק מ</w:t>
      </w:r>
      <w:r w:rsidR="00015CD7" w:rsidRPr="001A0B66">
        <w:rPr>
          <w:rFonts w:ascii="FrankRuehl" w:hAnsi="FrankRuehl" w:cs="FrankRuehl"/>
          <w:sz w:val="28"/>
          <w:szCs w:val="28"/>
          <w:rtl/>
        </w:rPr>
        <w:t>ה</w:t>
      </w:r>
      <w:r w:rsidR="00BA78F8" w:rsidRPr="001A0B66">
        <w:rPr>
          <w:rFonts w:ascii="FrankRuehl" w:hAnsi="FrankRuehl" w:cs="FrankRuehl"/>
          <w:sz w:val="28"/>
          <w:szCs w:val="28"/>
          <w:rtl/>
        </w:rPr>
        <w:t xml:space="preserve">הליכים </w:t>
      </w:r>
      <w:r w:rsidR="00015CD7" w:rsidRPr="001A0B66">
        <w:rPr>
          <w:rFonts w:ascii="FrankRuehl" w:hAnsi="FrankRuehl" w:cs="FrankRuehl"/>
          <w:sz w:val="28"/>
          <w:szCs w:val="28"/>
          <w:rtl/>
        </w:rPr>
        <w:t xml:space="preserve">הללו </w:t>
      </w:r>
      <w:r w:rsidR="005007A4" w:rsidRPr="001A0B66">
        <w:rPr>
          <w:rFonts w:ascii="FrankRuehl" w:hAnsi="FrankRuehl" w:cs="FrankRuehl"/>
          <w:sz w:val="28"/>
          <w:szCs w:val="28"/>
          <w:rtl/>
        </w:rPr>
        <w:t xml:space="preserve">קיימת </w:t>
      </w:r>
      <w:r w:rsidR="003B4A8A" w:rsidRPr="001A0B66">
        <w:rPr>
          <w:rFonts w:ascii="FrankRuehl" w:hAnsi="FrankRuehl" w:cs="FrankRuehl"/>
          <w:sz w:val="28"/>
          <w:szCs w:val="28"/>
          <w:rtl/>
        </w:rPr>
        <w:t xml:space="preserve">מראש </w:t>
      </w:r>
      <w:r w:rsidR="005007A4" w:rsidRPr="001A0B66">
        <w:rPr>
          <w:rFonts w:ascii="FrankRuehl" w:hAnsi="FrankRuehl" w:cs="FrankRuehl"/>
          <w:sz w:val="28"/>
          <w:szCs w:val="28"/>
          <w:rtl/>
        </w:rPr>
        <w:t>ה</w:t>
      </w:r>
      <w:r w:rsidR="003B4A8A" w:rsidRPr="001A0B66">
        <w:rPr>
          <w:rFonts w:ascii="FrankRuehl" w:hAnsi="FrankRuehl" w:cs="FrankRuehl"/>
          <w:sz w:val="28"/>
          <w:szCs w:val="28"/>
          <w:rtl/>
        </w:rPr>
        <w:t>אפשרות</w:t>
      </w:r>
      <w:r w:rsidR="00015CD7" w:rsidRPr="001A0B66">
        <w:rPr>
          <w:rFonts w:ascii="FrankRuehl" w:hAnsi="FrankRuehl" w:cs="FrankRuehl"/>
          <w:sz w:val="28"/>
          <w:szCs w:val="28"/>
          <w:rtl/>
        </w:rPr>
        <w:t xml:space="preserve"> </w:t>
      </w:r>
      <w:r w:rsidR="005007A4" w:rsidRPr="001A0B66">
        <w:rPr>
          <w:rFonts w:ascii="FrankRuehl" w:hAnsi="FrankRuehl" w:cs="FrankRuehl"/>
          <w:sz w:val="28"/>
          <w:szCs w:val="28"/>
          <w:rtl/>
        </w:rPr>
        <w:t>לייצוג של</w:t>
      </w:r>
      <w:r w:rsidR="003B4A8A" w:rsidRPr="001A0B66">
        <w:rPr>
          <w:rFonts w:ascii="FrankRuehl" w:hAnsi="FrankRuehl" w:cs="FrankRuehl"/>
          <w:sz w:val="28"/>
          <w:szCs w:val="28"/>
          <w:rtl/>
        </w:rPr>
        <w:t xml:space="preserve"> ה</w:t>
      </w:r>
      <w:r w:rsidR="00BA78F8" w:rsidRPr="001A0B66">
        <w:rPr>
          <w:rFonts w:ascii="FrankRuehl" w:hAnsi="FrankRuehl" w:cs="FrankRuehl"/>
          <w:sz w:val="28"/>
          <w:szCs w:val="28"/>
          <w:rtl/>
        </w:rPr>
        <w:t>סנגוריה הציבורית</w:t>
      </w:r>
      <w:r w:rsidR="005007A4" w:rsidRPr="001A0B66">
        <w:rPr>
          <w:rFonts w:ascii="FrankRuehl" w:hAnsi="FrankRuehl" w:cs="FrankRuehl"/>
          <w:sz w:val="28"/>
          <w:szCs w:val="28"/>
          <w:rtl/>
        </w:rPr>
        <w:t>,</w:t>
      </w:r>
      <w:r w:rsidR="00015CD7" w:rsidRPr="001A0B66">
        <w:rPr>
          <w:rFonts w:ascii="FrankRuehl" w:hAnsi="FrankRuehl" w:cs="FrankRuehl"/>
          <w:sz w:val="28"/>
          <w:szCs w:val="28"/>
          <w:rtl/>
        </w:rPr>
        <w:t xml:space="preserve"> והיא אכן זו שמוזמנת </w:t>
      </w:r>
      <w:r w:rsidR="00D94B5D" w:rsidRPr="001A0B66">
        <w:rPr>
          <w:rFonts w:ascii="FrankRuehl" w:hAnsi="FrankRuehl" w:cs="FrankRuehl"/>
          <w:sz w:val="28"/>
          <w:szCs w:val="28"/>
          <w:rtl/>
        </w:rPr>
        <w:t xml:space="preserve">לעיתים </w:t>
      </w:r>
      <w:r w:rsidR="005007A4" w:rsidRPr="001A0B66">
        <w:rPr>
          <w:rFonts w:ascii="FrankRuehl" w:hAnsi="FrankRuehl" w:cs="FrankRuehl"/>
          <w:sz w:val="28"/>
          <w:szCs w:val="28"/>
          <w:rtl/>
        </w:rPr>
        <w:t>לייצג</w:t>
      </w:r>
      <w:r w:rsidR="00BA78F8" w:rsidRPr="001A0B66">
        <w:rPr>
          <w:rFonts w:ascii="FrankRuehl" w:hAnsi="FrankRuehl" w:cs="FrankRuehl"/>
          <w:sz w:val="28"/>
          <w:szCs w:val="28"/>
          <w:rtl/>
        </w:rPr>
        <w:t xml:space="preserve"> בהליכים בפני ועדות שחרורים, בהליכים הקשורים לוועדות מאוימים, בהליכי הגבלה על עברייני מין וכמובן </w:t>
      </w:r>
      <w:r w:rsidR="00D5482E" w:rsidRPr="001A0B66">
        <w:rPr>
          <w:rFonts w:ascii="FrankRuehl" w:hAnsi="FrankRuehl" w:cs="FrankRuehl"/>
          <w:sz w:val="28"/>
          <w:szCs w:val="28"/>
          <w:rtl/>
        </w:rPr>
        <w:t xml:space="preserve">בעניינים </w:t>
      </w:r>
      <w:r w:rsidR="00BA78F8" w:rsidRPr="001A0B66">
        <w:rPr>
          <w:rFonts w:ascii="FrankRuehl" w:hAnsi="FrankRuehl" w:cs="FrankRuehl"/>
          <w:sz w:val="28"/>
          <w:szCs w:val="28"/>
          <w:rtl/>
        </w:rPr>
        <w:t xml:space="preserve">הקשורים לחסיונות בהליכים פליליים. </w:t>
      </w:r>
      <w:r w:rsidR="00EC2D0C" w:rsidRPr="001A0B66">
        <w:rPr>
          <w:rFonts w:ascii="FrankRuehl" w:hAnsi="FrankRuehl" w:cs="FrankRuehl"/>
          <w:sz w:val="28"/>
          <w:szCs w:val="28"/>
          <w:rtl/>
        </w:rPr>
        <w:t xml:space="preserve">מאחר </w:t>
      </w:r>
      <w:r w:rsidR="00D5482E" w:rsidRPr="001A0B66">
        <w:rPr>
          <w:rFonts w:ascii="FrankRuehl" w:hAnsi="FrankRuehl" w:cs="FrankRuehl"/>
          <w:sz w:val="28"/>
          <w:szCs w:val="28"/>
          <w:rtl/>
        </w:rPr>
        <w:t>ש</w:t>
      </w:r>
      <w:r w:rsidR="00EC2D0C" w:rsidRPr="001A0B66">
        <w:rPr>
          <w:rFonts w:ascii="FrankRuehl" w:hAnsi="FrankRuehl" w:cs="FrankRuehl"/>
          <w:sz w:val="28"/>
          <w:szCs w:val="28"/>
          <w:rtl/>
        </w:rPr>
        <w:t xml:space="preserve">הסנגוריה הציבורית מעורבת </w:t>
      </w:r>
      <w:r w:rsidR="00D5482E" w:rsidRPr="001A0B66">
        <w:rPr>
          <w:rFonts w:ascii="FrankRuehl" w:hAnsi="FrankRuehl" w:cs="FrankRuehl"/>
          <w:sz w:val="28"/>
          <w:szCs w:val="28"/>
          <w:rtl/>
        </w:rPr>
        <w:t xml:space="preserve">ממילא </w:t>
      </w:r>
      <w:r w:rsidR="00EC2D0C" w:rsidRPr="001A0B66">
        <w:rPr>
          <w:rFonts w:ascii="FrankRuehl" w:hAnsi="FrankRuehl" w:cs="FrankRuehl"/>
          <w:sz w:val="28"/>
          <w:szCs w:val="28"/>
          <w:rtl/>
        </w:rPr>
        <w:t xml:space="preserve">בייצוג בהליכים המסוימים הללו, לא יהיה קושי </w:t>
      </w:r>
      <w:r w:rsidR="00D5482E" w:rsidRPr="001A0B66">
        <w:rPr>
          <w:rFonts w:ascii="FrankRuehl" w:hAnsi="FrankRuehl" w:cs="FrankRuehl"/>
          <w:sz w:val="28"/>
          <w:szCs w:val="28"/>
          <w:rtl/>
        </w:rPr>
        <w:t xml:space="preserve">של ממש </w:t>
      </w:r>
      <w:r w:rsidR="00EC2D0C" w:rsidRPr="001A0B66">
        <w:rPr>
          <w:rFonts w:ascii="FrankRuehl" w:hAnsi="FrankRuehl" w:cs="FrankRuehl"/>
          <w:sz w:val="28"/>
          <w:szCs w:val="28"/>
          <w:rtl/>
        </w:rPr>
        <w:t>להפעיל בגדרם של הליכים אלה סנגור ציבורי נוסף בתפקיד עורך דין מיוחד.</w:t>
      </w:r>
    </w:p>
    <w:p w14:paraId="636281C9" w14:textId="77777777" w:rsidR="00A47B20" w:rsidRPr="001A0B66" w:rsidRDefault="00BA78F8"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בהליכים אחרים, כגון הליכי הגירה</w:t>
      </w:r>
      <w:r w:rsidR="00EC2D0C" w:rsidRPr="001A0B66">
        <w:rPr>
          <w:rFonts w:ascii="FrankRuehl" w:hAnsi="FrankRuehl" w:cs="FrankRuehl"/>
          <w:sz w:val="28"/>
          <w:szCs w:val="28"/>
          <w:rtl/>
        </w:rPr>
        <w:t xml:space="preserve"> והליכי איחוד משפחות</w:t>
      </w:r>
      <w:r w:rsidRPr="001A0B66">
        <w:rPr>
          <w:rFonts w:ascii="FrankRuehl" w:hAnsi="FrankRuehl" w:cs="FrankRuehl"/>
          <w:sz w:val="28"/>
          <w:szCs w:val="28"/>
          <w:rtl/>
        </w:rPr>
        <w:t xml:space="preserve"> שהו</w:t>
      </w:r>
      <w:r w:rsidR="004D1B2F" w:rsidRPr="001A0B66">
        <w:rPr>
          <w:rFonts w:ascii="FrankRuehl" w:hAnsi="FrankRuehl" w:cs="FrankRuehl"/>
          <w:sz w:val="28"/>
          <w:szCs w:val="28"/>
          <w:rtl/>
        </w:rPr>
        <w:t>ז</w:t>
      </w:r>
      <w:r w:rsidRPr="001A0B66">
        <w:rPr>
          <w:rFonts w:ascii="FrankRuehl" w:hAnsi="FrankRuehl" w:cs="FrankRuehl"/>
          <w:sz w:val="28"/>
          <w:szCs w:val="28"/>
          <w:rtl/>
        </w:rPr>
        <w:t xml:space="preserve">כרו </w:t>
      </w:r>
      <w:r w:rsidR="00D5482E" w:rsidRPr="001A0B66">
        <w:rPr>
          <w:rFonts w:ascii="FrankRuehl" w:hAnsi="FrankRuehl" w:cs="FrankRuehl"/>
          <w:sz w:val="28"/>
          <w:szCs w:val="28"/>
          <w:rtl/>
        </w:rPr>
        <w:t>לעיל</w:t>
      </w:r>
      <w:r w:rsidRPr="001A0B66">
        <w:rPr>
          <w:rFonts w:ascii="FrankRuehl" w:hAnsi="FrankRuehl" w:cs="FrankRuehl"/>
          <w:sz w:val="28"/>
          <w:szCs w:val="28"/>
          <w:rtl/>
        </w:rPr>
        <w:t xml:space="preserve"> – הליכים לפי חוק האזרחות</w:t>
      </w:r>
      <w:r w:rsidR="00EC2D0C" w:rsidRPr="001A0B66">
        <w:rPr>
          <w:rFonts w:ascii="FrankRuehl" w:hAnsi="FrankRuehl" w:cs="FrankRuehl"/>
          <w:sz w:val="28"/>
          <w:szCs w:val="28"/>
          <w:rtl/>
        </w:rPr>
        <w:t xml:space="preserve">, </w:t>
      </w:r>
      <w:r w:rsidRPr="001A0B66">
        <w:rPr>
          <w:rFonts w:ascii="FrankRuehl" w:hAnsi="FrankRuehl" w:cs="FrankRuehl"/>
          <w:sz w:val="28"/>
          <w:szCs w:val="28"/>
          <w:rtl/>
        </w:rPr>
        <w:t>חוק הכניסה לישראל</w:t>
      </w:r>
      <w:r w:rsidR="00EC2D0C" w:rsidRPr="001A0B66">
        <w:rPr>
          <w:rFonts w:ascii="FrankRuehl" w:hAnsi="FrankRuehl" w:cs="FrankRuehl"/>
          <w:sz w:val="28"/>
          <w:szCs w:val="28"/>
          <w:rtl/>
        </w:rPr>
        <w:t>, חוק האזרחות והכניסה לישראל (הוראת שעה)</w:t>
      </w:r>
      <w:r w:rsidRPr="001A0B66">
        <w:rPr>
          <w:rFonts w:ascii="FrankRuehl" w:hAnsi="FrankRuehl" w:cs="FrankRuehl"/>
          <w:sz w:val="28"/>
          <w:szCs w:val="28"/>
          <w:rtl/>
        </w:rPr>
        <w:t xml:space="preserve"> – </w:t>
      </w:r>
      <w:r w:rsidR="00D5482E" w:rsidRPr="001A0B66">
        <w:rPr>
          <w:rFonts w:ascii="FrankRuehl" w:hAnsi="FrankRuehl" w:cs="FrankRuehl"/>
          <w:sz w:val="28"/>
          <w:szCs w:val="28"/>
          <w:rtl/>
        </w:rPr>
        <w:t>אין</w:t>
      </w:r>
      <w:r w:rsidRPr="001A0B66">
        <w:rPr>
          <w:rFonts w:ascii="FrankRuehl" w:hAnsi="FrankRuehl" w:cs="FrankRuehl"/>
          <w:sz w:val="28"/>
          <w:szCs w:val="28"/>
          <w:rtl/>
        </w:rPr>
        <w:t xml:space="preserve"> כיום י</w:t>
      </w:r>
      <w:r w:rsidR="006E1B35" w:rsidRPr="001A0B66">
        <w:rPr>
          <w:rFonts w:ascii="FrankRuehl" w:hAnsi="FrankRuehl" w:cs="FrankRuehl"/>
          <w:sz w:val="28"/>
          <w:szCs w:val="28"/>
          <w:rtl/>
        </w:rPr>
        <w:t>י</w:t>
      </w:r>
      <w:r w:rsidRPr="001A0B66">
        <w:rPr>
          <w:rFonts w:ascii="FrankRuehl" w:hAnsi="FrankRuehl" w:cs="FrankRuehl"/>
          <w:sz w:val="28"/>
          <w:szCs w:val="28"/>
          <w:rtl/>
        </w:rPr>
        <w:t xml:space="preserve">צוג ציבורי </w:t>
      </w:r>
      <w:r w:rsidR="004D1B2F" w:rsidRPr="001A0B66">
        <w:rPr>
          <w:rFonts w:ascii="FrankRuehl" w:hAnsi="FrankRuehl" w:cs="FrankRuehl"/>
          <w:sz w:val="28"/>
          <w:szCs w:val="28"/>
          <w:rtl/>
        </w:rPr>
        <w:t>ממשי</w:t>
      </w:r>
      <w:r w:rsidRPr="001A0B66">
        <w:rPr>
          <w:rFonts w:ascii="FrankRuehl" w:hAnsi="FrankRuehl" w:cs="FrankRuehl"/>
          <w:sz w:val="28"/>
          <w:szCs w:val="28"/>
          <w:rtl/>
        </w:rPr>
        <w:t>. אנו מציעים שבחירת</w:t>
      </w:r>
      <w:r w:rsidR="004D1B2F" w:rsidRPr="001A0B66">
        <w:rPr>
          <w:rFonts w:ascii="FrankRuehl" w:hAnsi="FrankRuehl" w:cs="FrankRuehl"/>
          <w:sz w:val="28"/>
          <w:szCs w:val="28"/>
          <w:rtl/>
        </w:rPr>
        <w:t xml:space="preserve"> עורכי דין</w:t>
      </w:r>
      <w:r w:rsidRPr="001A0B66">
        <w:rPr>
          <w:rFonts w:ascii="FrankRuehl" w:hAnsi="FrankRuehl" w:cs="FrankRuehl"/>
          <w:sz w:val="28"/>
          <w:szCs w:val="28"/>
          <w:rtl/>
        </w:rPr>
        <w:t xml:space="preserve"> מיוחדים בהליכים אלו תיעשה מתוך </w:t>
      </w:r>
      <w:r w:rsidR="00DE5B08" w:rsidRPr="001A0B66">
        <w:rPr>
          <w:rFonts w:ascii="FrankRuehl" w:hAnsi="FrankRuehl" w:cs="FrankRuehl"/>
          <w:sz w:val="28"/>
          <w:szCs w:val="28"/>
          <w:rtl/>
        </w:rPr>
        <w:t>הרשימה שתגבש הסנגוריה הציבורית</w:t>
      </w:r>
      <w:r w:rsidRPr="001A0B66">
        <w:rPr>
          <w:rFonts w:ascii="FrankRuehl" w:hAnsi="FrankRuehl" w:cs="FrankRuehl"/>
          <w:sz w:val="28"/>
          <w:szCs w:val="28"/>
          <w:rtl/>
        </w:rPr>
        <w:t xml:space="preserve">. ככל שנדרש למנות </w:t>
      </w:r>
      <w:r w:rsidR="004D1B2F" w:rsidRPr="001A0B66">
        <w:rPr>
          <w:rFonts w:ascii="FrankRuehl" w:hAnsi="FrankRuehl" w:cs="FrankRuehl"/>
          <w:sz w:val="28"/>
          <w:szCs w:val="28"/>
          <w:rtl/>
        </w:rPr>
        <w:t>עור</w:t>
      </w:r>
      <w:r w:rsidR="006820A0" w:rsidRPr="001A0B66">
        <w:rPr>
          <w:rFonts w:ascii="FrankRuehl" w:hAnsi="FrankRuehl" w:cs="FrankRuehl"/>
          <w:sz w:val="28"/>
          <w:szCs w:val="28"/>
          <w:rtl/>
        </w:rPr>
        <w:t>כת</w:t>
      </w:r>
      <w:r w:rsidR="004D1B2F" w:rsidRPr="001A0B66">
        <w:rPr>
          <w:rFonts w:ascii="FrankRuehl" w:hAnsi="FrankRuehl" w:cs="FrankRuehl"/>
          <w:sz w:val="28"/>
          <w:szCs w:val="28"/>
          <w:rtl/>
        </w:rPr>
        <w:t xml:space="preserve"> דין</w:t>
      </w:r>
      <w:r w:rsidRPr="001A0B66">
        <w:rPr>
          <w:rFonts w:ascii="FrankRuehl" w:hAnsi="FrankRuehl" w:cs="FrankRuehl"/>
          <w:sz w:val="28"/>
          <w:szCs w:val="28"/>
          <w:rtl/>
        </w:rPr>
        <w:t xml:space="preserve"> מיוחד</w:t>
      </w:r>
      <w:r w:rsidR="006820A0" w:rsidRPr="001A0B66">
        <w:rPr>
          <w:rFonts w:ascii="FrankRuehl" w:hAnsi="FrankRuehl" w:cs="FrankRuehl"/>
          <w:sz w:val="28"/>
          <w:szCs w:val="28"/>
          <w:rtl/>
        </w:rPr>
        <w:t>ת</w:t>
      </w:r>
      <w:r w:rsidRPr="001A0B66">
        <w:rPr>
          <w:rFonts w:ascii="FrankRuehl" w:hAnsi="FrankRuehl" w:cs="FrankRuehl"/>
          <w:sz w:val="28"/>
          <w:szCs w:val="28"/>
          <w:rtl/>
        </w:rPr>
        <w:t xml:space="preserve"> מטעם המדינה מחמת חוסר אמצעים של המתדיינים, </w:t>
      </w:r>
      <w:r w:rsidR="00940182" w:rsidRPr="001A0B66">
        <w:rPr>
          <w:rFonts w:ascii="FrankRuehl" w:hAnsi="FrankRuehl" w:cs="FrankRuehl"/>
          <w:sz w:val="28"/>
          <w:szCs w:val="28"/>
          <w:rtl/>
        </w:rPr>
        <w:t>ו</w:t>
      </w:r>
      <w:r w:rsidR="004D1B2F" w:rsidRPr="001A0B66">
        <w:rPr>
          <w:rFonts w:ascii="FrankRuehl" w:hAnsi="FrankRuehl" w:cs="FrankRuehl"/>
          <w:sz w:val="28"/>
          <w:szCs w:val="28"/>
          <w:rtl/>
        </w:rPr>
        <w:t>משום ש</w:t>
      </w:r>
      <w:r w:rsidR="00940182" w:rsidRPr="001A0B66">
        <w:rPr>
          <w:rFonts w:ascii="FrankRuehl" w:hAnsi="FrankRuehl" w:cs="FrankRuehl"/>
          <w:sz w:val="28"/>
          <w:szCs w:val="28"/>
          <w:rtl/>
        </w:rPr>
        <w:t xml:space="preserve">סמכות הסנגוריה הציבורית </w:t>
      </w:r>
      <w:r w:rsidR="004D1B2F" w:rsidRPr="001A0B66">
        <w:rPr>
          <w:rFonts w:ascii="FrankRuehl" w:hAnsi="FrankRuehl" w:cs="FrankRuehl"/>
          <w:sz w:val="28"/>
          <w:szCs w:val="28"/>
          <w:rtl/>
        </w:rPr>
        <w:t>מוגבלת ל</w:t>
      </w:r>
      <w:r w:rsidR="00940182" w:rsidRPr="001A0B66">
        <w:rPr>
          <w:rFonts w:ascii="FrankRuehl" w:hAnsi="FrankRuehl" w:cs="FrankRuehl"/>
          <w:sz w:val="28"/>
          <w:szCs w:val="28"/>
          <w:rtl/>
        </w:rPr>
        <w:t>הליכים פליליים ו</w:t>
      </w:r>
      <w:r w:rsidR="00D5482E" w:rsidRPr="001A0B66">
        <w:rPr>
          <w:rFonts w:ascii="FrankRuehl" w:hAnsi="FrankRuehl" w:cs="FrankRuehl"/>
          <w:sz w:val="28"/>
          <w:szCs w:val="28"/>
          <w:rtl/>
        </w:rPr>
        <w:t>ל</w:t>
      </w:r>
      <w:r w:rsidR="00940182" w:rsidRPr="001A0B66">
        <w:rPr>
          <w:rFonts w:ascii="FrankRuehl" w:hAnsi="FrankRuehl" w:cs="FrankRuehl"/>
          <w:sz w:val="28"/>
          <w:szCs w:val="28"/>
          <w:rtl/>
        </w:rPr>
        <w:t xml:space="preserve">הליכים </w:t>
      </w:r>
      <w:r w:rsidR="004D1B2F" w:rsidRPr="001A0B66">
        <w:rPr>
          <w:rFonts w:ascii="FrankRuehl" w:hAnsi="FrankRuehl" w:cs="FrankRuehl"/>
          <w:sz w:val="28"/>
          <w:szCs w:val="28"/>
          <w:rtl/>
        </w:rPr>
        <w:t>ה</w:t>
      </w:r>
      <w:r w:rsidR="00940182" w:rsidRPr="001A0B66">
        <w:rPr>
          <w:rFonts w:ascii="FrankRuehl" w:hAnsi="FrankRuehl" w:cs="FrankRuehl"/>
          <w:sz w:val="28"/>
          <w:szCs w:val="28"/>
          <w:rtl/>
        </w:rPr>
        <w:t xml:space="preserve">נלווים אליהם, </w:t>
      </w:r>
      <w:r w:rsidRPr="001A0B66">
        <w:rPr>
          <w:rFonts w:ascii="FrankRuehl" w:hAnsi="FrankRuehl" w:cs="FrankRuehl"/>
          <w:sz w:val="28"/>
          <w:szCs w:val="28"/>
          <w:rtl/>
        </w:rPr>
        <w:t xml:space="preserve">מן הראוי שמינוי </w:t>
      </w:r>
      <w:r w:rsidR="004D1B2F" w:rsidRPr="001A0B66">
        <w:rPr>
          <w:rFonts w:ascii="FrankRuehl" w:hAnsi="FrankRuehl" w:cs="FrankRuehl"/>
          <w:sz w:val="28"/>
          <w:szCs w:val="28"/>
          <w:rtl/>
        </w:rPr>
        <w:t>עור</w:t>
      </w:r>
      <w:r w:rsidR="006820A0" w:rsidRPr="001A0B66">
        <w:rPr>
          <w:rFonts w:ascii="FrankRuehl" w:hAnsi="FrankRuehl" w:cs="FrankRuehl"/>
          <w:sz w:val="28"/>
          <w:szCs w:val="28"/>
          <w:rtl/>
        </w:rPr>
        <w:t>כת</w:t>
      </w:r>
      <w:r w:rsidR="004D1B2F" w:rsidRPr="001A0B66">
        <w:rPr>
          <w:rFonts w:ascii="FrankRuehl" w:hAnsi="FrankRuehl" w:cs="FrankRuehl"/>
          <w:sz w:val="28"/>
          <w:szCs w:val="28"/>
          <w:rtl/>
        </w:rPr>
        <w:t xml:space="preserve"> הדין המיוחד</w:t>
      </w:r>
      <w:r w:rsidR="006820A0" w:rsidRPr="001A0B66">
        <w:rPr>
          <w:rFonts w:ascii="FrankRuehl" w:hAnsi="FrankRuehl" w:cs="FrankRuehl"/>
          <w:sz w:val="28"/>
          <w:szCs w:val="28"/>
          <w:rtl/>
        </w:rPr>
        <w:t>ת</w:t>
      </w:r>
      <w:r w:rsidR="004D1B2F" w:rsidRPr="001A0B66">
        <w:rPr>
          <w:rFonts w:ascii="FrankRuehl" w:hAnsi="FrankRuehl" w:cs="FrankRuehl"/>
          <w:sz w:val="28"/>
          <w:szCs w:val="28"/>
          <w:rtl/>
        </w:rPr>
        <w:t xml:space="preserve"> </w:t>
      </w:r>
      <w:r w:rsidRPr="001A0B66">
        <w:rPr>
          <w:rFonts w:ascii="FrankRuehl" w:hAnsi="FrankRuehl" w:cs="FrankRuehl"/>
          <w:sz w:val="28"/>
          <w:szCs w:val="28"/>
          <w:rtl/>
        </w:rPr>
        <w:t xml:space="preserve">ייעשה על ידי </w:t>
      </w:r>
      <w:r w:rsidRPr="001A0B66">
        <w:rPr>
          <w:rFonts w:ascii="FrankRuehl" w:hAnsi="FrankRuehl" w:cs="FrankRuehl"/>
          <w:b/>
          <w:bCs/>
          <w:sz w:val="28"/>
          <w:szCs w:val="28"/>
          <w:rtl/>
        </w:rPr>
        <w:t>הלשכה לסיוע משפטי במשרד המשפטים</w:t>
      </w:r>
      <w:r w:rsidRPr="001A0B66">
        <w:rPr>
          <w:rFonts w:ascii="FrankRuehl" w:hAnsi="FrankRuehl" w:cs="FrankRuehl"/>
          <w:sz w:val="28"/>
          <w:szCs w:val="28"/>
          <w:rtl/>
        </w:rPr>
        <w:t>, העוסקת במתן ייצוג משפטי לנזקקים בהליכים אזרחיים ומנהליים.</w:t>
      </w:r>
      <w:r w:rsidR="00EC2D0C" w:rsidRPr="001A0B66">
        <w:rPr>
          <w:rStyle w:val="FootnoteReference"/>
          <w:rFonts w:ascii="FrankRuehl" w:hAnsi="FrankRuehl" w:cs="FrankRuehl"/>
          <w:sz w:val="28"/>
          <w:szCs w:val="28"/>
          <w:rtl/>
        </w:rPr>
        <w:footnoteReference w:id="160"/>
      </w:r>
      <w:r w:rsidRPr="001A0B66">
        <w:rPr>
          <w:rFonts w:ascii="FrankRuehl" w:hAnsi="FrankRuehl" w:cs="FrankRuehl"/>
          <w:sz w:val="28"/>
          <w:szCs w:val="28"/>
          <w:rtl/>
        </w:rPr>
        <w:t xml:space="preserve"> </w:t>
      </w:r>
      <w:r w:rsidR="00940182" w:rsidRPr="001A0B66">
        <w:rPr>
          <w:rFonts w:ascii="FrankRuehl" w:hAnsi="FrankRuehl" w:cs="FrankRuehl"/>
          <w:sz w:val="28"/>
          <w:szCs w:val="28"/>
          <w:rtl/>
        </w:rPr>
        <w:t xml:space="preserve">ללשכה לסיוע משפטי </w:t>
      </w:r>
      <w:r w:rsidR="00D5482E" w:rsidRPr="001A0B66">
        <w:rPr>
          <w:rFonts w:ascii="FrankRuehl" w:hAnsi="FrankRuehl" w:cs="FrankRuehl"/>
          <w:sz w:val="28"/>
          <w:szCs w:val="28"/>
          <w:rtl/>
        </w:rPr>
        <w:t xml:space="preserve">מוקנית </w:t>
      </w:r>
      <w:r w:rsidR="00940182" w:rsidRPr="001A0B66">
        <w:rPr>
          <w:rFonts w:ascii="FrankRuehl" w:hAnsi="FrankRuehl" w:cs="FrankRuehl"/>
          <w:sz w:val="28"/>
          <w:szCs w:val="28"/>
          <w:rtl/>
        </w:rPr>
        <w:t>סמכות להעניק סיוע משפטי בהליכים לפי חוק האזרחות, וראוי להרחיב את סמכותה גם להליכים בהתאם</w:t>
      </w:r>
      <w:r w:rsidR="006E1B35" w:rsidRPr="001A0B66">
        <w:rPr>
          <w:rFonts w:ascii="FrankRuehl" w:hAnsi="FrankRuehl" w:cs="FrankRuehl"/>
          <w:sz w:val="28"/>
          <w:szCs w:val="28"/>
          <w:rtl/>
        </w:rPr>
        <w:t xml:space="preserve"> לחוק הכניסה לישראל ו</w:t>
      </w:r>
      <w:r w:rsidR="004D1B2F" w:rsidRPr="001A0B66">
        <w:rPr>
          <w:rFonts w:ascii="FrankRuehl" w:hAnsi="FrankRuehl" w:cs="FrankRuehl"/>
          <w:sz w:val="28"/>
          <w:szCs w:val="28"/>
          <w:rtl/>
        </w:rPr>
        <w:t>להליכים בהתאם ל</w:t>
      </w:r>
      <w:r w:rsidR="006E1B35" w:rsidRPr="001A0B66">
        <w:rPr>
          <w:rFonts w:ascii="FrankRuehl" w:hAnsi="FrankRuehl" w:cs="FrankRuehl"/>
          <w:sz w:val="28"/>
          <w:szCs w:val="28"/>
          <w:rtl/>
        </w:rPr>
        <w:t>חוק האזרחות והכניסה לישראל</w:t>
      </w:r>
      <w:r w:rsidR="00940182" w:rsidRPr="001A0B66">
        <w:rPr>
          <w:rFonts w:ascii="FrankRuehl" w:hAnsi="FrankRuehl" w:cs="FrankRuehl"/>
          <w:sz w:val="28"/>
          <w:szCs w:val="28"/>
          <w:rtl/>
        </w:rPr>
        <w:t>.</w:t>
      </w:r>
      <w:r w:rsidR="00940182" w:rsidRPr="001A0B66">
        <w:rPr>
          <w:rStyle w:val="FootnoteReference"/>
          <w:rFonts w:ascii="FrankRuehl" w:hAnsi="FrankRuehl" w:cs="FrankRuehl"/>
          <w:sz w:val="28"/>
          <w:szCs w:val="28"/>
          <w:rtl/>
        </w:rPr>
        <w:footnoteReference w:id="161"/>
      </w:r>
      <w:r w:rsidRPr="001A0B66">
        <w:rPr>
          <w:rFonts w:ascii="FrankRuehl" w:hAnsi="FrankRuehl" w:cs="FrankRuehl"/>
          <w:sz w:val="28"/>
          <w:szCs w:val="28"/>
          <w:rtl/>
        </w:rPr>
        <w:t xml:space="preserve"> </w:t>
      </w:r>
    </w:p>
    <w:p w14:paraId="5519F314" w14:textId="77777777" w:rsidR="00D44BF9" w:rsidRPr="001A0B66" w:rsidRDefault="00D44BF9" w:rsidP="00F307FB">
      <w:pPr>
        <w:pStyle w:val="Heading1"/>
        <w:spacing w:line="276" w:lineRule="auto"/>
        <w:rPr>
          <w:rFonts w:ascii="FrankRuehl" w:hAnsi="FrankRuehl" w:cs="FrankRuehl"/>
          <w:rtl/>
        </w:rPr>
      </w:pPr>
      <w:bookmarkStart w:id="104" w:name="_Toc52981445"/>
      <w:bookmarkStart w:id="105" w:name="_Toc52984569"/>
      <w:bookmarkStart w:id="106" w:name="_Toc53124435"/>
      <w:bookmarkStart w:id="107" w:name="_Toc53143386"/>
      <w:r w:rsidRPr="001A0B66">
        <w:rPr>
          <w:rFonts w:ascii="FrankRuehl" w:hAnsi="FrankRuehl" w:cs="FrankRuehl"/>
          <w:rtl/>
        </w:rPr>
        <w:t>סיכום</w:t>
      </w:r>
      <w:bookmarkEnd w:id="104"/>
      <w:bookmarkEnd w:id="105"/>
      <w:bookmarkEnd w:id="106"/>
      <w:bookmarkEnd w:id="107"/>
    </w:p>
    <w:p w14:paraId="5F8F3828" w14:textId="77777777" w:rsidR="00236F73" w:rsidRPr="001A0B66" w:rsidRDefault="00D44BF9"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אחת הדילמות הקשות ביותר של השימוש בראיות חסויות</w:t>
      </w:r>
      <w:r w:rsidR="00A762E0" w:rsidRPr="001A0B66">
        <w:rPr>
          <w:rFonts w:ascii="FrankRuehl" w:hAnsi="FrankRuehl" w:cs="FrankRuehl"/>
          <w:sz w:val="28"/>
          <w:szCs w:val="28"/>
          <w:rtl/>
        </w:rPr>
        <w:t xml:space="preserve"> כבסיס להגבלת </w:t>
      </w:r>
      <w:r w:rsidR="001B51B6" w:rsidRPr="001A0B66">
        <w:rPr>
          <w:rFonts w:ascii="FrankRuehl" w:hAnsi="FrankRuehl" w:cs="FrankRuehl"/>
          <w:sz w:val="28"/>
          <w:szCs w:val="28"/>
          <w:rtl/>
        </w:rPr>
        <w:t>חירות ו</w:t>
      </w:r>
      <w:r w:rsidR="00A762E0" w:rsidRPr="001A0B66">
        <w:rPr>
          <w:rFonts w:ascii="FrankRuehl" w:hAnsi="FrankRuehl" w:cs="FrankRuehl"/>
          <w:sz w:val="28"/>
          <w:szCs w:val="28"/>
          <w:rtl/>
        </w:rPr>
        <w:t>זכויות אדם</w:t>
      </w:r>
      <w:r w:rsidR="001B51B6" w:rsidRPr="001A0B66">
        <w:rPr>
          <w:rFonts w:ascii="FrankRuehl" w:hAnsi="FrankRuehl" w:cs="FrankRuehl"/>
          <w:sz w:val="28"/>
          <w:szCs w:val="28"/>
          <w:rtl/>
        </w:rPr>
        <w:t xml:space="preserve"> נוספות</w:t>
      </w:r>
      <w:r w:rsidRPr="001A0B66">
        <w:rPr>
          <w:rFonts w:ascii="FrankRuehl" w:hAnsi="FrankRuehl" w:cs="FrankRuehl"/>
          <w:sz w:val="28"/>
          <w:szCs w:val="28"/>
          <w:rtl/>
        </w:rPr>
        <w:t xml:space="preserve"> הוא המצב הקפקאי </w:t>
      </w:r>
      <w:r w:rsidR="008D7416" w:rsidRPr="001A0B66">
        <w:rPr>
          <w:rFonts w:ascii="FrankRuehl" w:hAnsi="FrankRuehl" w:cs="FrankRuehl"/>
          <w:sz w:val="28"/>
          <w:szCs w:val="28"/>
          <w:rtl/>
        </w:rPr>
        <w:t>ששימוש זה</w:t>
      </w:r>
      <w:r w:rsidR="00A762E0" w:rsidRPr="001A0B66">
        <w:rPr>
          <w:rFonts w:ascii="FrankRuehl" w:hAnsi="FrankRuehl" w:cs="FrankRuehl"/>
          <w:sz w:val="28"/>
          <w:szCs w:val="28"/>
          <w:rtl/>
        </w:rPr>
        <w:t xml:space="preserve"> תכופות מגבש</w:t>
      </w:r>
      <w:r w:rsidRPr="001A0B66">
        <w:rPr>
          <w:rFonts w:ascii="FrankRuehl" w:hAnsi="FrankRuehl" w:cs="FrankRuehl"/>
          <w:sz w:val="28"/>
          <w:szCs w:val="28"/>
          <w:rtl/>
        </w:rPr>
        <w:t>. הצעת חוק מעניינת וחשובה, שזוכה לתמיכה מ</w:t>
      </w:r>
      <w:r w:rsidR="00236F73" w:rsidRPr="001A0B66">
        <w:rPr>
          <w:rFonts w:ascii="FrankRuehl" w:hAnsi="FrankRuehl" w:cs="FrankRuehl"/>
          <w:sz w:val="28"/>
          <w:szCs w:val="28"/>
          <w:rtl/>
        </w:rPr>
        <w:t xml:space="preserve">מגוון </w:t>
      </w:r>
      <w:r w:rsidRPr="001A0B66">
        <w:rPr>
          <w:rFonts w:ascii="FrankRuehl" w:hAnsi="FrankRuehl" w:cs="FrankRuehl"/>
          <w:sz w:val="28"/>
          <w:szCs w:val="28"/>
          <w:rtl/>
        </w:rPr>
        <w:t xml:space="preserve">כיוונים, </w:t>
      </w:r>
      <w:r w:rsidR="00236F73" w:rsidRPr="001A0B66">
        <w:rPr>
          <w:rFonts w:ascii="FrankRuehl" w:hAnsi="FrankRuehl" w:cs="FrankRuehl"/>
          <w:sz w:val="28"/>
          <w:szCs w:val="28"/>
          <w:rtl/>
        </w:rPr>
        <w:t xml:space="preserve">מנסה </w:t>
      </w:r>
      <w:r w:rsidRPr="001A0B66">
        <w:rPr>
          <w:rFonts w:ascii="FrankRuehl" w:hAnsi="FrankRuehl" w:cs="FrankRuehl"/>
          <w:sz w:val="28"/>
          <w:szCs w:val="28"/>
          <w:rtl/>
        </w:rPr>
        <w:t>ל</w:t>
      </w:r>
      <w:r w:rsidR="00DB6A0F" w:rsidRPr="001A0B66">
        <w:rPr>
          <w:rFonts w:ascii="FrankRuehl" w:hAnsi="FrankRuehl" w:cs="FrankRuehl"/>
          <w:sz w:val="28"/>
          <w:szCs w:val="28"/>
          <w:rtl/>
        </w:rPr>
        <w:t>הקהות</w:t>
      </w:r>
      <w:r w:rsidRPr="001A0B66">
        <w:rPr>
          <w:rFonts w:ascii="FrankRuehl" w:hAnsi="FrankRuehl" w:cs="FrankRuehl"/>
          <w:sz w:val="28"/>
          <w:szCs w:val="28"/>
          <w:rtl/>
        </w:rPr>
        <w:t xml:space="preserve"> </w:t>
      </w:r>
      <w:r w:rsidR="008D7416" w:rsidRPr="001A0B66">
        <w:rPr>
          <w:rFonts w:ascii="FrankRuehl" w:hAnsi="FrankRuehl" w:cs="FrankRuehl"/>
          <w:sz w:val="28"/>
          <w:szCs w:val="28"/>
          <w:rtl/>
        </w:rPr>
        <w:t xml:space="preserve">את הקפקאיות </w:t>
      </w:r>
      <w:r w:rsidR="006820A0" w:rsidRPr="001A0B66">
        <w:rPr>
          <w:rFonts w:ascii="FrankRuehl" w:hAnsi="FrankRuehl" w:cs="FrankRuehl"/>
          <w:sz w:val="28"/>
          <w:szCs w:val="28"/>
          <w:rtl/>
        </w:rPr>
        <w:t>ו</w:t>
      </w:r>
      <w:r w:rsidR="008D7416" w:rsidRPr="001A0B66">
        <w:rPr>
          <w:rFonts w:ascii="FrankRuehl" w:hAnsi="FrankRuehl" w:cs="FrankRuehl"/>
          <w:sz w:val="28"/>
          <w:szCs w:val="28"/>
          <w:rtl/>
        </w:rPr>
        <w:t>להפחית מה</w:t>
      </w:r>
      <w:r w:rsidRPr="001A0B66">
        <w:rPr>
          <w:rFonts w:ascii="FrankRuehl" w:hAnsi="FrankRuehl" w:cs="FrankRuehl"/>
          <w:sz w:val="28"/>
          <w:szCs w:val="28"/>
          <w:rtl/>
        </w:rPr>
        <w:t xml:space="preserve">מחיר שגובות סמכויות שעת חירום באמצעות מודל עורך הדין המיוחד. </w:t>
      </w:r>
      <w:r w:rsidR="00236F73" w:rsidRPr="001A0B66">
        <w:rPr>
          <w:rFonts w:ascii="FrankRuehl" w:hAnsi="FrankRuehl" w:cs="FrankRuehl"/>
          <w:sz w:val="28"/>
          <w:szCs w:val="28"/>
          <w:rtl/>
        </w:rPr>
        <w:t xml:space="preserve">עורכת הדין המיוחדת </w:t>
      </w:r>
      <w:r w:rsidR="008D7416" w:rsidRPr="001A0B66">
        <w:rPr>
          <w:rFonts w:ascii="FrankRuehl" w:hAnsi="FrankRuehl" w:cs="FrankRuehl"/>
          <w:sz w:val="28"/>
          <w:szCs w:val="28"/>
          <w:rtl/>
        </w:rPr>
        <w:t>אמור</w:t>
      </w:r>
      <w:r w:rsidR="00236F73" w:rsidRPr="001A0B66">
        <w:rPr>
          <w:rFonts w:ascii="FrankRuehl" w:hAnsi="FrankRuehl" w:cs="FrankRuehl"/>
          <w:sz w:val="28"/>
          <w:szCs w:val="28"/>
          <w:rtl/>
        </w:rPr>
        <w:t>ה</w:t>
      </w:r>
      <w:r w:rsidR="008D7416" w:rsidRPr="001A0B66">
        <w:rPr>
          <w:rFonts w:ascii="FrankRuehl" w:hAnsi="FrankRuehl" w:cs="FrankRuehl"/>
          <w:sz w:val="28"/>
          <w:szCs w:val="28"/>
          <w:rtl/>
        </w:rPr>
        <w:t xml:space="preserve"> </w:t>
      </w:r>
      <w:r w:rsidRPr="001A0B66">
        <w:rPr>
          <w:rFonts w:ascii="FrankRuehl" w:hAnsi="FrankRuehl" w:cs="FrankRuehl"/>
          <w:sz w:val="28"/>
          <w:szCs w:val="28"/>
          <w:rtl/>
        </w:rPr>
        <w:t>לפעול לצד עור</w:t>
      </w:r>
      <w:r w:rsidR="00236F73" w:rsidRPr="001A0B66">
        <w:rPr>
          <w:rFonts w:ascii="FrankRuehl" w:hAnsi="FrankRuehl" w:cs="FrankRuehl"/>
          <w:sz w:val="28"/>
          <w:szCs w:val="28"/>
          <w:rtl/>
        </w:rPr>
        <w:t>כת</w:t>
      </w:r>
      <w:r w:rsidRPr="001A0B66">
        <w:rPr>
          <w:rFonts w:ascii="FrankRuehl" w:hAnsi="FrankRuehl" w:cs="FrankRuehl"/>
          <w:sz w:val="28"/>
          <w:szCs w:val="28"/>
          <w:rtl/>
        </w:rPr>
        <w:t xml:space="preserve"> הדין הרגיל</w:t>
      </w:r>
      <w:r w:rsidR="00236F73" w:rsidRPr="001A0B66">
        <w:rPr>
          <w:rFonts w:ascii="FrankRuehl" w:hAnsi="FrankRuehl" w:cs="FrankRuehl"/>
          <w:sz w:val="28"/>
          <w:szCs w:val="28"/>
          <w:rtl/>
        </w:rPr>
        <w:t>ה:</w:t>
      </w:r>
      <w:r w:rsidRPr="001A0B66">
        <w:rPr>
          <w:rFonts w:ascii="FrankRuehl" w:hAnsi="FrankRuehl" w:cs="FrankRuehl"/>
          <w:sz w:val="28"/>
          <w:szCs w:val="28"/>
          <w:rtl/>
        </w:rPr>
        <w:t xml:space="preserve"> להיחשף לחומר החסוי</w:t>
      </w:r>
      <w:r w:rsidR="00DB6A0F" w:rsidRPr="001A0B66">
        <w:rPr>
          <w:rFonts w:ascii="FrankRuehl" w:hAnsi="FrankRuehl" w:cs="FrankRuehl"/>
          <w:sz w:val="28"/>
          <w:szCs w:val="28"/>
          <w:rtl/>
        </w:rPr>
        <w:t>;</w:t>
      </w:r>
      <w:r w:rsidRPr="001A0B66">
        <w:rPr>
          <w:rFonts w:ascii="FrankRuehl" w:hAnsi="FrankRuehl" w:cs="FrankRuehl"/>
          <w:sz w:val="28"/>
          <w:szCs w:val="28"/>
          <w:rtl/>
        </w:rPr>
        <w:t xml:space="preserve"> ל</w:t>
      </w:r>
      <w:r w:rsidR="008D7416" w:rsidRPr="001A0B66">
        <w:rPr>
          <w:rFonts w:ascii="FrankRuehl" w:hAnsi="FrankRuehl" w:cs="FrankRuehl"/>
          <w:sz w:val="28"/>
          <w:szCs w:val="28"/>
          <w:rtl/>
        </w:rPr>
        <w:t>נסות לשכנע</w:t>
      </w:r>
      <w:r w:rsidR="00DB6A0F" w:rsidRPr="001A0B66">
        <w:rPr>
          <w:rFonts w:ascii="FrankRuehl" w:hAnsi="FrankRuehl" w:cs="FrankRuehl"/>
          <w:sz w:val="28"/>
          <w:szCs w:val="28"/>
          <w:rtl/>
        </w:rPr>
        <w:t xml:space="preserve"> את בית המשפט</w:t>
      </w:r>
      <w:r w:rsidR="008D7416" w:rsidRPr="001A0B66">
        <w:rPr>
          <w:rFonts w:ascii="FrankRuehl" w:hAnsi="FrankRuehl" w:cs="FrankRuehl"/>
          <w:sz w:val="28"/>
          <w:szCs w:val="28"/>
          <w:rtl/>
        </w:rPr>
        <w:t xml:space="preserve"> לחשוף </w:t>
      </w:r>
      <w:r w:rsidRPr="001A0B66">
        <w:rPr>
          <w:rFonts w:ascii="FrankRuehl" w:hAnsi="FrankRuehl" w:cs="FrankRuehl"/>
          <w:sz w:val="28"/>
          <w:szCs w:val="28"/>
          <w:rtl/>
        </w:rPr>
        <w:t xml:space="preserve">חלקים </w:t>
      </w:r>
      <w:r w:rsidR="00236F73" w:rsidRPr="001A0B66">
        <w:rPr>
          <w:rFonts w:ascii="FrankRuehl" w:hAnsi="FrankRuehl" w:cs="FrankRuehl"/>
          <w:sz w:val="28"/>
          <w:szCs w:val="28"/>
          <w:rtl/>
        </w:rPr>
        <w:t xml:space="preserve">רבים ככל האפשר </w:t>
      </w:r>
      <w:r w:rsidRPr="001A0B66">
        <w:rPr>
          <w:rFonts w:ascii="FrankRuehl" w:hAnsi="FrankRuehl" w:cs="FrankRuehl"/>
          <w:sz w:val="28"/>
          <w:szCs w:val="28"/>
          <w:rtl/>
        </w:rPr>
        <w:t>ממנו</w:t>
      </w:r>
      <w:r w:rsidR="00DB6A0F" w:rsidRPr="001A0B66">
        <w:rPr>
          <w:rFonts w:ascii="FrankRuehl" w:hAnsi="FrankRuehl" w:cs="FrankRuehl"/>
          <w:sz w:val="28"/>
          <w:szCs w:val="28"/>
          <w:rtl/>
        </w:rPr>
        <w:t>;</w:t>
      </w:r>
      <w:r w:rsidRPr="001A0B66">
        <w:rPr>
          <w:rFonts w:ascii="FrankRuehl" w:hAnsi="FrankRuehl" w:cs="FrankRuehl"/>
          <w:sz w:val="28"/>
          <w:szCs w:val="28"/>
          <w:rtl/>
        </w:rPr>
        <w:t xml:space="preserve"> ולהציג </w:t>
      </w:r>
      <w:r w:rsidR="00236F73" w:rsidRPr="001A0B66">
        <w:rPr>
          <w:rFonts w:ascii="FrankRuehl" w:hAnsi="FrankRuehl" w:cs="FrankRuehl"/>
          <w:sz w:val="28"/>
          <w:szCs w:val="28"/>
          <w:rtl/>
        </w:rPr>
        <w:t xml:space="preserve">בפני בית המשפט </w:t>
      </w:r>
      <w:r w:rsidRPr="001A0B66">
        <w:rPr>
          <w:rFonts w:ascii="FrankRuehl" w:hAnsi="FrankRuehl" w:cs="FrankRuehl"/>
          <w:sz w:val="28"/>
          <w:szCs w:val="28"/>
          <w:rtl/>
        </w:rPr>
        <w:t xml:space="preserve">פרשנות </w:t>
      </w:r>
      <w:r w:rsidR="00236F73" w:rsidRPr="001A0B66">
        <w:rPr>
          <w:rFonts w:ascii="FrankRuehl" w:hAnsi="FrankRuehl" w:cs="FrankRuehl"/>
          <w:sz w:val="28"/>
          <w:szCs w:val="28"/>
          <w:rtl/>
        </w:rPr>
        <w:t>למכלול החומר הגלוי והחסוי שבתיק</w:t>
      </w:r>
      <w:r w:rsidR="00236F73" w:rsidRPr="001A0B66" w:rsidDel="00236F73">
        <w:rPr>
          <w:rFonts w:ascii="FrankRuehl" w:hAnsi="FrankRuehl" w:cs="FrankRuehl"/>
          <w:sz w:val="28"/>
          <w:szCs w:val="28"/>
          <w:rtl/>
        </w:rPr>
        <w:t xml:space="preserve"> </w:t>
      </w:r>
      <w:r w:rsidR="00236F73" w:rsidRPr="001A0B66">
        <w:rPr>
          <w:rFonts w:ascii="FrankRuehl" w:hAnsi="FrankRuehl" w:cs="FrankRuehl"/>
          <w:sz w:val="28"/>
          <w:szCs w:val="28"/>
          <w:rtl/>
        </w:rPr>
        <w:t xml:space="preserve">– זו המיטיבה </w:t>
      </w:r>
      <w:r w:rsidRPr="001A0B66">
        <w:rPr>
          <w:rFonts w:ascii="FrankRuehl" w:hAnsi="FrankRuehl" w:cs="FrankRuehl"/>
          <w:sz w:val="28"/>
          <w:szCs w:val="28"/>
          <w:rtl/>
        </w:rPr>
        <w:t xml:space="preserve">ביותר </w:t>
      </w:r>
      <w:r w:rsidR="00236F73" w:rsidRPr="001A0B66">
        <w:rPr>
          <w:rFonts w:ascii="FrankRuehl" w:hAnsi="FrankRuehl" w:cs="FrankRuehl"/>
          <w:sz w:val="28"/>
          <w:szCs w:val="28"/>
          <w:rtl/>
        </w:rPr>
        <w:t xml:space="preserve">עם </w:t>
      </w:r>
      <w:r w:rsidRPr="001A0B66">
        <w:rPr>
          <w:rFonts w:ascii="FrankRuehl" w:hAnsi="FrankRuehl" w:cs="FrankRuehl"/>
          <w:sz w:val="28"/>
          <w:szCs w:val="28"/>
          <w:rtl/>
        </w:rPr>
        <w:t xml:space="preserve">האדם העצור. </w:t>
      </w:r>
    </w:p>
    <w:p w14:paraId="146A33F8" w14:textId="77777777" w:rsidR="00D44BF9" w:rsidRPr="001A0B66" w:rsidRDefault="00700259"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lastRenderedPageBreak/>
        <w:t>תמכנו ב</w:t>
      </w:r>
      <w:r w:rsidR="00AC0818" w:rsidRPr="001A0B66">
        <w:rPr>
          <w:rFonts w:ascii="FrankRuehl" w:hAnsi="FrankRuehl" w:cs="FrankRuehl"/>
          <w:sz w:val="28"/>
          <w:szCs w:val="28"/>
          <w:rtl/>
        </w:rPr>
        <w:t>מודל עורך הדין המיוחד</w:t>
      </w:r>
      <w:r w:rsidRPr="001A0B66">
        <w:rPr>
          <w:rFonts w:ascii="FrankRuehl" w:hAnsi="FrankRuehl" w:cs="FrankRuehl"/>
          <w:sz w:val="28"/>
          <w:szCs w:val="28"/>
          <w:rtl/>
        </w:rPr>
        <w:t xml:space="preserve">, משום </w:t>
      </w:r>
      <w:r w:rsidR="00AC0818" w:rsidRPr="001A0B66">
        <w:rPr>
          <w:rFonts w:ascii="FrankRuehl" w:hAnsi="FrankRuehl" w:cs="FrankRuehl"/>
          <w:sz w:val="28"/>
          <w:szCs w:val="28"/>
          <w:rtl/>
        </w:rPr>
        <w:t xml:space="preserve">שטמונה בו </w:t>
      </w:r>
      <w:r w:rsidR="0035723A" w:rsidRPr="001A0B66">
        <w:rPr>
          <w:rFonts w:ascii="FrankRuehl" w:hAnsi="FrankRuehl" w:cs="FrankRuehl"/>
          <w:sz w:val="28"/>
          <w:szCs w:val="28"/>
          <w:rtl/>
        </w:rPr>
        <w:t xml:space="preserve">חלופה שממתנת את הקשיים העמוקים </w:t>
      </w:r>
      <w:r w:rsidR="00AC0818" w:rsidRPr="001A0B66">
        <w:rPr>
          <w:rFonts w:ascii="FrankRuehl" w:hAnsi="FrankRuehl" w:cs="FrankRuehl"/>
          <w:sz w:val="28"/>
          <w:szCs w:val="28"/>
          <w:rtl/>
        </w:rPr>
        <w:t xml:space="preserve">שמעוררות סמכויות החירום והראיות החסויות המלוות אותן. </w:t>
      </w:r>
      <w:r w:rsidR="0035723A" w:rsidRPr="001A0B66">
        <w:rPr>
          <w:rFonts w:ascii="FrankRuehl" w:hAnsi="FrankRuehl" w:cs="FrankRuehl"/>
          <w:sz w:val="28"/>
          <w:szCs w:val="28"/>
          <w:rtl/>
        </w:rPr>
        <w:t xml:space="preserve">קיומה </w:t>
      </w:r>
      <w:r w:rsidR="00AC0818" w:rsidRPr="001A0B66">
        <w:rPr>
          <w:rFonts w:ascii="FrankRuehl" w:hAnsi="FrankRuehl" w:cs="FrankRuehl"/>
          <w:sz w:val="28"/>
          <w:szCs w:val="28"/>
          <w:rtl/>
        </w:rPr>
        <w:t xml:space="preserve">של </w:t>
      </w:r>
      <w:r w:rsidR="0035723A" w:rsidRPr="001A0B66">
        <w:rPr>
          <w:rFonts w:ascii="FrankRuehl" w:hAnsi="FrankRuehl" w:cs="FrankRuehl"/>
          <w:sz w:val="28"/>
          <w:szCs w:val="28"/>
          <w:rtl/>
        </w:rPr>
        <w:t>חלופה פותח פתח לטיעון חוקתי כנגד סמכויות</w:t>
      </w:r>
      <w:r w:rsidR="00AC0818" w:rsidRPr="001A0B66">
        <w:rPr>
          <w:rFonts w:ascii="FrankRuehl" w:hAnsi="FrankRuehl" w:cs="FrankRuehl"/>
          <w:sz w:val="28"/>
          <w:szCs w:val="28"/>
          <w:rtl/>
        </w:rPr>
        <w:t xml:space="preserve"> החירום, ואולם </w:t>
      </w:r>
      <w:r w:rsidR="0035723A" w:rsidRPr="001A0B66">
        <w:rPr>
          <w:rFonts w:ascii="FrankRuehl" w:hAnsi="FrankRuehl" w:cs="FrankRuehl"/>
          <w:sz w:val="28"/>
          <w:szCs w:val="28"/>
          <w:rtl/>
        </w:rPr>
        <w:t>מקוצר היריעה לא פנינו לשרטט אתגר חוקתי.</w:t>
      </w:r>
      <w:r w:rsidR="00AC0818" w:rsidRPr="001A0B66">
        <w:rPr>
          <w:rStyle w:val="FootnoteReference"/>
          <w:rFonts w:ascii="FrankRuehl" w:hAnsi="FrankRuehl" w:cs="FrankRuehl"/>
          <w:sz w:val="28"/>
          <w:szCs w:val="28"/>
          <w:rtl/>
        </w:rPr>
        <w:footnoteReference w:id="162"/>
      </w:r>
      <w:r w:rsidR="00AC0818" w:rsidRPr="001A0B66">
        <w:rPr>
          <w:rFonts w:ascii="FrankRuehl" w:hAnsi="FrankRuehl" w:cs="FrankRuehl"/>
          <w:sz w:val="28"/>
          <w:szCs w:val="28"/>
          <w:rtl/>
        </w:rPr>
        <w:t xml:space="preserve"> </w:t>
      </w:r>
      <w:r w:rsidR="0035723A" w:rsidRPr="001A0B66">
        <w:rPr>
          <w:rFonts w:ascii="FrankRuehl" w:hAnsi="FrankRuehl" w:cs="FrankRuehl"/>
          <w:sz w:val="28"/>
          <w:szCs w:val="28"/>
          <w:rtl/>
        </w:rPr>
        <w:t xml:space="preserve">תחת זאת התמקדנו בהצעות לשיפור מודל עורך הדין המיוחד שאותו שרטטה הצעת החוק. </w:t>
      </w:r>
      <w:r w:rsidR="00D44BF9" w:rsidRPr="001A0B66">
        <w:rPr>
          <w:rFonts w:ascii="FrankRuehl" w:hAnsi="FrankRuehl" w:cs="FrankRuehl"/>
          <w:sz w:val="28"/>
          <w:szCs w:val="28"/>
          <w:rtl/>
        </w:rPr>
        <w:t>ראשית, הצענו להחיל הסדר של עור</w:t>
      </w:r>
      <w:r w:rsidR="006820A0" w:rsidRPr="001A0B66">
        <w:rPr>
          <w:rFonts w:ascii="FrankRuehl" w:hAnsi="FrankRuehl" w:cs="FrankRuehl"/>
          <w:sz w:val="28"/>
          <w:szCs w:val="28"/>
          <w:rtl/>
        </w:rPr>
        <w:t>כת</w:t>
      </w:r>
      <w:r w:rsidR="00D44BF9" w:rsidRPr="001A0B66">
        <w:rPr>
          <w:rFonts w:ascii="FrankRuehl" w:hAnsi="FrankRuehl" w:cs="FrankRuehl"/>
          <w:sz w:val="28"/>
          <w:szCs w:val="28"/>
          <w:rtl/>
        </w:rPr>
        <w:t xml:space="preserve"> דין מיוחד</w:t>
      </w:r>
      <w:r w:rsidR="006820A0" w:rsidRPr="001A0B66">
        <w:rPr>
          <w:rFonts w:ascii="FrankRuehl" w:hAnsi="FrankRuehl" w:cs="FrankRuehl"/>
          <w:sz w:val="28"/>
          <w:szCs w:val="28"/>
          <w:rtl/>
        </w:rPr>
        <w:t>ת</w:t>
      </w:r>
      <w:r w:rsidR="00D44BF9" w:rsidRPr="001A0B66">
        <w:rPr>
          <w:rFonts w:ascii="FrankRuehl" w:hAnsi="FrankRuehl" w:cs="FrankRuehl"/>
          <w:sz w:val="28"/>
          <w:szCs w:val="28"/>
          <w:rtl/>
        </w:rPr>
        <w:t xml:space="preserve"> על הזירה שבה סמכויות</w:t>
      </w:r>
      <w:r w:rsidR="00236F73" w:rsidRPr="001A0B66">
        <w:rPr>
          <w:rFonts w:ascii="FrankRuehl" w:hAnsi="FrankRuehl" w:cs="FrankRuehl"/>
          <w:sz w:val="28"/>
          <w:szCs w:val="28"/>
          <w:rtl/>
        </w:rPr>
        <w:t xml:space="preserve"> המעצר המנהלי</w:t>
      </w:r>
      <w:r w:rsidR="00D44BF9" w:rsidRPr="001A0B66">
        <w:rPr>
          <w:rFonts w:ascii="FrankRuehl" w:hAnsi="FrankRuehl" w:cs="FrankRuehl"/>
          <w:sz w:val="28"/>
          <w:szCs w:val="28"/>
          <w:rtl/>
        </w:rPr>
        <w:t xml:space="preserve"> מופעלות יותר מכ</w:t>
      </w:r>
      <w:r w:rsidR="00236F73" w:rsidRPr="001A0B66">
        <w:rPr>
          <w:rFonts w:ascii="FrankRuehl" w:hAnsi="FrankRuehl" w:cs="FrankRuehl"/>
          <w:sz w:val="28"/>
          <w:szCs w:val="28"/>
          <w:rtl/>
        </w:rPr>
        <w:t>ו</w:t>
      </w:r>
      <w:r w:rsidR="00D44BF9" w:rsidRPr="001A0B66">
        <w:rPr>
          <w:rFonts w:ascii="FrankRuehl" w:hAnsi="FrankRuehl" w:cs="FrankRuehl"/>
          <w:sz w:val="28"/>
          <w:szCs w:val="28"/>
          <w:rtl/>
        </w:rPr>
        <w:t xml:space="preserve">ל. השימוש האינטנסיבי ביותר במעצרים מנהליים ובראיות חסויות הוא נגד הפלסטינים בגדה המערבית, </w:t>
      </w:r>
      <w:r w:rsidR="00236F73" w:rsidRPr="001A0B66">
        <w:rPr>
          <w:rFonts w:ascii="FrankRuehl" w:hAnsi="FrankRuehl" w:cs="FrankRuehl"/>
          <w:sz w:val="28"/>
          <w:szCs w:val="28"/>
          <w:rtl/>
        </w:rPr>
        <w:t xml:space="preserve">אולם </w:t>
      </w:r>
      <w:r w:rsidR="00D44BF9" w:rsidRPr="001A0B66">
        <w:rPr>
          <w:rFonts w:ascii="FrankRuehl" w:hAnsi="FrankRuehl" w:cs="FrankRuehl"/>
          <w:sz w:val="28"/>
          <w:szCs w:val="28"/>
          <w:rtl/>
        </w:rPr>
        <w:t xml:space="preserve">הצעת החוק </w:t>
      </w:r>
      <w:r w:rsidR="00236F73" w:rsidRPr="001A0B66">
        <w:rPr>
          <w:rFonts w:ascii="FrankRuehl" w:hAnsi="FrankRuehl" w:cs="FrankRuehl"/>
          <w:sz w:val="28"/>
          <w:szCs w:val="28"/>
          <w:rtl/>
        </w:rPr>
        <w:t xml:space="preserve">אינה </w:t>
      </w:r>
      <w:r w:rsidR="00D44BF9" w:rsidRPr="001A0B66">
        <w:rPr>
          <w:rFonts w:ascii="FrankRuehl" w:hAnsi="FrankRuehl" w:cs="FrankRuehl"/>
          <w:sz w:val="28"/>
          <w:szCs w:val="28"/>
          <w:rtl/>
        </w:rPr>
        <w:t>חלה עליהם. א</w:t>
      </w:r>
      <w:r w:rsidR="000867B6" w:rsidRPr="001A0B66">
        <w:rPr>
          <w:rFonts w:ascii="FrankRuehl" w:hAnsi="FrankRuehl" w:cs="FrankRuehl"/>
          <w:sz w:val="28"/>
          <w:szCs w:val="28"/>
          <w:rtl/>
        </w:rPr>
        <w:t>ו</w:t>
      </w:r>
      <w:r w:rsidR="008D6FD3" w:rsidRPr="001A0B66">
        <w:rPr>
          <w:rFonts w:ascii="FrankRuehl" w:hAnsi="FrankRuehl" w:cs="FrankRuehl"/>
          <w:sz w:val="28"/>
          <w:szCs w:val="28"/>
          <w:rtl/>
        </w:rPr>
        <w:t xml:space="preserve">מנם מבחינה </w:t>
      </w:r>
      <w:r w:rsidR="00236F73" w:rsidRPr="001A0B66">
        <w:rPr>
          <w:rFonts w:ascii="FrankRuehl" w:hAnsi="FrankRuehl" w:cs="FrankRuehl"/>
          <w:sz w:val="28"/>
          <w:szCs w:val="28"/>
          <w:rtl/>
        </w:rPr>
        <w:t xml:space="preserve">רשמית </w:t>
      </w:r>
      <w:r w:rsidR="00D44BF9" w:rsidRPr="001A0B66">
        <w:rPr>
          <w:rFonts w:ascii="FrankRuehl" w:hAnsi="FrankRuehl" w:cs="FrankRuehl"/>
          <w:sz w:val="28"/>
          <w:szCs w:val="28"/>
          <w:rtl/>
        </w:rPr>
        <w:t xml:space="preserve">סמכות </w:t>
      </w:r>
      <w:r w:rsidR="008D6FD3" w:rsidRPr="001A0B66">
        <w:rPr>
          <w:rFonts w:ascii="FrankRuehl" w:hAnsi="FrankRuehl" w:cs="FrankRuehl"/>
          <w:sz w:val="28"/>
          <w:szCs w:val="28"/>
          <w:rtl/>
        </w:rPr>
        <w:t>החקיקה</w:t>
      </w:r>
      <w:r w:rsidR="00D44BF9" w:rsidRPr="001A0B66">
        <w:rPr>
          <w:rFonts w:ascii="FrankRuehl" w:hAnsi="FrankRuehl" w:cs="FrankRuehl"/>
          <w:sz w:val="28"/>
          <w:szCs w:val="28"/>
          <w:rtl/>
        </w:rPr>
        <w:t xml:space="preserve"> בשטח הנתון </w:t>
      </w:r>
      <w:r w:rsidR="00236F73" w:rsidRPr="001A0B66">
        <w:rPr>
          <w:rFonts w:ascii="FrankRuehl" w:hAnsi="FrankRuehl" w:cs="FrankRuehl"/>
          <w:sz w:val="28"/>
          <w:szCs w:val="28"/>
          <w:rtl/>
        </w:rPr>
        <w:t>ל</w:t>
      </w:r>
      <w:r w:rsidR="00D44BF9" w:rsidRPr="001A0B66">
        <w:rPr>
          <w:rFonts w:ascii="FrankRuehl" w:hAnsi="FrankRuehl" w:cs="FrankRuehl"/>
          <w:sz w:val="28"/>
          <w:szCs w:val="28"/>
          <w:rtl/>
        </w:rPr>
        <w:t xml:space="preserve">תפיסה </w:t>
      </w:r>
      <w:proofErr w:type="spellStart"/>
      <w:r w:rsidR="00D44BF9" w:rsidRPr="001A0B66">
        <w:rPr>
          <w:rFonts w:ascii="FrankRuehl" w:hAnsi="FrankRuehl" w:cs="FrankRuehl"/>
          <w:sz w:val="28"/>
          <w:szCs w:val="28"/>
          <w:rtl/>
        </w:rPr>
        <w:t>לוחמתית</w:t>
      </w:r>
      <w:proofErr w:type="spellEnd"/>
      <w:r w:rsidR="00D44BF9" w:rsidRPr="001A0B66">
        <w:rPr>
          <w:rFonts w:ascii="FrankRuehl" w:hAnsi="FrankRuehl" w:cs="FrankRuehl"/>
          <w:sz w:val="28"/>
          <w:szCs w:val="28"/>
          <w:rtl/>
        </w:rPr>
        <w:t xml:space="preserve"> שמורה למפקד הצבאי</w:t>
      </w:r>
      <w:r w:rsidR="008D6FD3" w:rsidRPr="001A0B66">
        <w:rPr>
          <w:rFonts w:ascii="FrankRuehl" w:hAnsi="FrankRuehl" w:cs="FrankRuehl"/>
          <w:sz w:val="28"/>
          <w:szCs w:val="28"/>
          <w:rtl/>
        </w:rPr>
        <w:t>,</w:t>
      </w:r>
      <w:r w:rsidR="00D44BF9" w:rsidRPr="001A0B66">
        <w:rPr>
          <w:rFonts w:ascii="FrankRuehl" w:hAnsi="FrankRuehl" w:cs="FrankRuehl"/>
          <w:sz w:val="28"/>
          <w:szCs w:val="28"/>
          <w:rtl/>
        </w:rPr>
        <w:t xml:space="preserve"> אולם המפקד הצבאי אינו אלא זרוע של המדינה. </w:t>
      </w:r>
      <w:r w:rsidR="00ED174F" w:rsidRPr="001A0B66">
        <w:rPr>
          <w:rFonts w:ascii="FrankRuehl" w:hAnsi="FrankRuehl" w:cs="FrankRuehl"/>
          <w:sz w:val="28"/>
          <w:szCs w:val="28"/>
          <w:rtl/>
        </w:rPr>
        <w:t xml:space="preserve">מתקיימות </w:t>
      </w:r>
      <w:r w:rsidR="00D44BF9" w:rsidRPr="001A0B66">
        <w:rPr>
          <w:rFonts w:ascii="FrankRuehl" w:hAnsi="FrankRuehl" w:cs="FrankRuehl"/>
          <w:sz w:val="28"/>
          <w:szCs w:val="28"/>
          <w:rtl/>
        </w:rPr>
        <w:t>כאן שתי מערכות חוק שמשקפות דרגות של הגנה משפטית</w:t>
      </w:r>
      <w:r w:rsidR="008D6FD3" w:rsidRPr="001A0B66">
        <w:rPr>
          <w:rFonts w:ascii="FrankRuehl" w:hAnsi="FrankRuehl" w:cs="FrankRuehl"/>
          <w:sz w:val="28"/>
          <w:szCs w:val="28"/>
          <w:rtl/>
        </w:rPr>
        <w:t xml:space="preserve"> נפרדת ולא שווה</w:t>
      </w:r>
      <w:r w:rsidR="00236F73" w:rsidRPr="001A0B66">
        <w:rPr>
          <w:rFonts w:ascii="FrankRuehl" w:hAnsi="FrankRuehl" w:cs="FrankRuehl"/>
          <w:sz w:val="28"/>
          <w:szCs w:val="28"/>
          <w:rtl/>
        </w:rPr>
        <w:t xml:space="preserve">, השונות זו מזו </w:t>
      </w:r>
      <w:r w:rsidR="000B764C" w:rsidRPr="001A0B66">
        <w:rPr>
          <w:rFonts w:ascii="FrankRuehl" w:hAnsi="FrankRuehl" w:cs="FrankRuehl"/>
          <w:sz w:val="28"/>
          <w:szCs w:val="28"/>
          <w:rtl/>
        </w:rPr>
        <w:t>באופן קיצוני</w:t>
      </w:r>
      <w:r w:rsidR="00D44BF9" w:rsidRPr="001A0B66">
        <w:rPr>
          <w:rFonts w:ascii="FrankRuehl" w:hAnsi="FrankRuehl" w:cs="FrankRuehl"/>
          <w:sz w:val="28"/>
          <w:szCs w:val="28"/>
          <w:rtl/>
        </w:rPr>
        <w:t xml:space="preserve">. </w:t>
      </w:r>
      <w:r w:rsidR="008D6FD3" w:rsidRPr="001A0B66">
        <w:rPr>
          <w:rFonts w:ascii="FrankRuehl" w:hAnsi="FrankRuehl" w:cs="FrankRuehl"/>
          <w:sz w:val="28"/>
          <w:szCs w:val="28"/>
          <w:rtl/>
        </w:rPr>
        <w:t xml:space="preserve">הדואליות המשפטית </w:t>
      </w:r>
      <w:r w:rsidR="00ED174F" w:rsidRPr="001A0B66">
        <w:rPr>
          <w:rFonts w:ascii="FrankRuehl" w:hAnsi="FrankRuehl" w:cs="FrankRuehl"/>
          <w:sz w:val="28"/>
          <w:szCs w:val="28"/>
          <w:rtl/>
        </w:rPr>
        <w:t>הזו</w:t>
      </w:r>
      <w:r w:rsidR="008D6FD3" w:rsidRPr="001A0B66">
        <w:rPr>
          <w:rFonts w:ascii="FrankRuehl" w:hAnsi="FrankRuehl" w:cs="FrankRuehl"/>
          <w:sz w:val="28"/>
          <w:szCs w:val="28"/>
          <w:rtl/>
        </w:rPr>
        <w:t xml:space="preserve"> היא </w:t>
      </w:r>
      <w:r w:rsidR="00D44BF9" w:rsidRPr="001A0B66">
        <w:rPr>
          <w:rFonts w:ascii="FrankRuehl" w:hAnsi="FrankRuehl" w:cs="FrankRuehl"/>
          <w:sz w:val="28"/>
          <w:szCs w:val="28"/>
          <w:rtl/>
        </w:rPr>
        <w:t>בעייתי</w:t>
      </w:r>
      <w:r w:rsidR="008D6FD3" w:rsidRPr="001A0B66">
        <w:rPr>
          <w:rFonts w:ascii="FrankRuehl" w:hAnsi="FrankRuehl" w:cs="FrankRuehl"/>
          <w:sz w:val="28"/>
          <w:szCs w:val="28"/>
          <w:rtl/>
        </w:rPr>
        <w:t>ת</w:t>
      </w:r>
      <w:r w:rsidR="00D44BF9" w:rsidRPr="001A0B66">
        <w:rPr>
          <w:rFonts w:ascii="FrankRuehl" w:hAnsi="FrankRuehl" w:cs="FrankRuehl"/>
          <w:sz w:val="28"/>
          <w:szCs w:val="28"/>
          <w:rtl/>
        </w:rPr>
        <w:t xml:space="preserve"> ביותר, שהרי </w:t>
      </w:r>
      <w:r w:rsidR="00ED174F" w:rsidRPr="001A0B66">
        <w:rPr>
          <w:rFonts w:ascii="FrankRuehl" w:hAnsi="FrankRuehl" w:cs="FrankRuehl"/>
          <w:sz w:val="28"/>
          <w:szCs w:val="28"/>
          <w:rtl/>
        </w:rPr>
        <w:t>היא</w:t>
      </w:r>
      <w:r w:rsidR="00D44BF9" w:rsidRPr="001A0B66">
        <w:rPr>
          <w:rFonts w:ascii="FrankRuehl" w:hAnsi="FrankRuehl" w:cs="FrankRuehl"/>
          <w:sz w:val="28"/>
          <w:szCs w:val="28"/>
          <w:rtl/>
        </w:rPr>
        <w:t xml:space="preserve"> מופעל</w:t>
      </w:r>
      <w:r w:rsidR="00ED174F" w:rsidRPr="001A0B66">
        <w:rPr>
          <w:rFonts w:ascii="FrankRuehl" w:hAnsi="FrankRuehl" w:cs="FrankRuehl"/>
          <w:sz w:val="28"/>
          <w:szCs w:val="28"/>
          <w:rtl/>
        </w:rPr>
        <w:t>ת</w:t>
      </w:r>
      <w:r w:rsidR="00D44BF9" w:rsidRPr="001A0B66">
        <w:rPr>
          <w:rFonts w:ascii="FrankRuehl" w:hAnsi="FrankRuehl" w:cs="FrankRuehl"/>
          <w:sz w:val="28"/>
          <w:szCs w:val="28"/>
          <w:rtl/>
        </w:rPr>
        <w:t xml:space="preserve"> על-ידי מדינה שולטת אחת. התייחס לכך כב' השופט רובינשטיין: "אף אם מדובר בשני מקורות סמכות שונים ו</w:t>
      </w:r>
      <w:r w:rsidR="000B764C" w:rsidRPr="001A0B66">
        <w:rPr>
          <w:rFonts w:ascii="FrankRuehl" w:hAnsi="FrankRuehl" w:cs="FrankRuehl"/>
          <w:sz w:val="28"/>
          <w:szCs w:val="28"/>
          <w:rtl/>
        </w:rPr>
        <w:t>'</w:t>
      </w:r>
      <w:r w:rsidR="00D44BF9" w:rsidRPr="001A0B66">
        <w:rPr>
          <w:rFonts w:ascii="FrankRuehl" w:hAnsi="FrankRuehl" w:cs="FrankRuehl"/>
          <w:sz w:val="28"/>
          <w:szCs w:val="28"/>
          <w:rtl/>
        </w:rPr>
        <w:t>כובעים</w:t>
      </w:r>
      <w:r w:rsidR="000B764C" w:rsidRPr="001A0B66">
        <w:rPr>
          <w:rFonts w:ascii="FrankRuehl" w:hAnsi="FrankRuehl" w:cs="FrankRuehl"/>
          <w:sz w:val="28"/>
          <w:szCs w:val="28"/>
          <w:rtl/>
        </w:rPr>
        <w:t>'</w:t>
      </w:r>
      <w:r w:rsidR="00D44BF9" w:rsidRPr="001A0B66">
        <w:rPr>
          <w:rFonts w:ascii="FrankRuehl" w:hAnsi="FrankRuehl" w:cs="FrankRuehl"/>
          <w:sz w:val="28"/>
          <w:szCs w:val="28"/>
          <w:rtl/>
        </w:rPr>
        <w:t xml:space="preserve"> ריבוניים שונים, </w:t>
      </w:r>
      <w:r w:rsidR="000B764C" w:rsidRPr="001A0B66">
        <w:rPr>
          <w:rFonts w:ascii="FrankRuehl" w:hAnsi="FrankRuehl" w:cs="FrankRuehl"/>
          <w:sz w:val="28"/>
          <w:szCs w:val="28"/>
          <w:rtl/>
        </w:rPr>
        <w:t>'</w:t>
      </w:r>
      <w:r w:rsidR="00D44BF9" w:rsidRPr="001A0B66">
        <w:rPr>
          <w:rFonts w:ascii="FrankRuehl" w:hAnsi="FrankRuehl" w:cs="FrankRuehl"/>
          <w:sz w:val="28"/>
          <w:szCs w:val="28"/>
          <w:rtl/>
        </w:rPr>
        <w:t>הלוא אב אחד לכולנו</w:t>
      </w:r>
      <w:r w:rsidR="000B764C" w:rsidRPr="001A0B66">
        <w:rPr>
          <w:rFonts w:ascii="FrankRuehl" w:hAnsi="FrankRuehl" w:cs="FrankRuehl"/>
          <w:sz w:val="28"/>
          <w:szCs w:val="28"/>
          <w:rtl/>
        </w:rPr>
        <w:t>'</w:t>
      </w:r>
      <w:r w:rsidR="00D44BF9" w:rsidRPr="001A0B66">
        <w:rPr>
          <w:rFonts w:ascii="FrankRuehl" w:hAnsi="FrankRuehl" w:cs="FrankRuehl"/>
          <w:sz w:val="28"/>
          <w:szCs w:val="28"/>
          <w:rtl/>
        </w:rPr>
        <w:t xml:space="preserve"> (מלאכי ב', י'), קרי – במהות – מדינת ישראל חופה על </w:t>
      </w:r>
      <w:proofErr w:type="spellStart"/>
      <w:r w:rsidR="00D44BF9" w:rsidRPr="001A0B66">
        <w:rPr>
          <w:rFonts w:ascii="FrankRuehl" w:hAnsi="FrankRuehl" w:cs="FrankRuehl"/>
          <w:sz w:val="28"/>
          <w:szCs w:val="28"/>
          <w:rtl/>
        </w:rPr>
        <w:t>הכל</w:t>
      </w:r>
      <w:proofErr w:type="spellEnd"/>
      <w:r w:rsidR="00D44BF9" w:rsidRPr="001A0B66">
        <w:rPr>
          <w:rFonts w:ascii="FrankRuehl" w:hAnsi="FrankRuehl" w:cs="FrankRuehl"/>
          <w:sz w:val="28"/>
          <w:szCs w:val="28"/>
          <w:rtl/>
        </w:rPr>
        <w:t>".</w:t>
      </w:r>
      <w:r w:rsidR="00D44BF9" w:rsidRPr="001A0B66">
        <w:rPr>
          <w:rStyle w:val="FootnoteReference"/>
          <w:rFonts w:ascii="FrankRuehl" w:hAnsi="FrankRuehl" w:cs="FrankRuehl"/>
          <w:sz w:val="28"/>
          <w:szCs w:val="28"/>
          <w:rtl/>
        </w:rPr>
        <w:footnoteReference w:id="163"/>
      </w:r>
      <w:r w:rsidR="008C3BB1">
        <w:rPr>
          <w:rStyle w:val="FootnoteReference"/>
          <w:rFonts w:ascii="FrankRuehl" w:hAnsi="FrankRuehl" w:cs="FrankRuehl"/>
          <w:sz w:val="28"/>
          <w:szCs w:val="28"/>
          <w:rtl/>
        </w:rPr>
        <w:t xml:space="preserve"> </w:t>
      </w:r>
    </w:p>
    <w:p w14:paraId="495877FA" w14:textId="77777777" w:rsidR="00D44BF9" w:rsidRPr="001A0B66" w:rsidRDefault="00F90C44"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כדי להימנע מהעמקת המערכת הכפולה והמפלה של החקיקה</w:t>
      </w:r>
      <w:r w:rsidR="000B764C" w:rsidRPr="001A0B66">
        <w:rPr>
          <w:rFonts w:ascii="FrankRuehl" w:hAnsi="FrankRuehl" w:cs="FrankRuehl"/>
          <w:sz w:val="28"/>
          <w:szCs w:val="28"/>
          <w:rtl/>
        </w:rPr>
        <w:t xml:space="preserve"> –</w:t>
      </w:r>
      <w:r w:rsidRPr="001A0B66">
        <w:rPr>
          <w:rFonts w:ascii="FrankRuehl" w:hAnsi="FrankRuehl" w:cs="FrankRuehl"/>
          <w:sz w:val="28"/>
          <w:szCs w:val="28"/>
          <w:rtl/>
        </w:rPr>
        <w:t xml:space="preserve"> בישראל ובשטחים</w:t>
      </w:r>
      <w:r w:rsidR="000B764C" w:rsidRPr="001A0B66">
        <w:rPr>
          <w:rFonts w:ascii="FrankRuehl" w:hAnsi="FrankRuehl" w:cs="FrankRuehl"/>
          <w:sz w:val="28"/>
          <w:szCs w:val="28"/>
          <w:rtl/>
        </w:rPr>
        <w:t xml:space="preserve"> –</w:t>
      </w:r>
      <w:r w:rsidRPr="001A0B66">
        <w:rPr>
          <w:rFonts w:ascii="FrankRuehl" w:hAnsi="FrankRuehl" w:cs="FrankRuehl"/>
          <w:sz w:val="28"/>
          <w:szCs w:val="28"/>
          <w:rtl/>
        </w:rPr>
        <w:t xml:space="preserve"> </w:t>
      </w:r>
      <w:r w:rsidR="00D44BF9" w:rsidRPr="001A0B66">
        <w:rPr>
          <w:rFonts w:ascii="FrankRuehl" w:hAnsi="FrankRuehl" w:cs="FrankRuehl"/>
          <w:sz w:val="28"/>
          <w:szCs w:val="28"/>
          <w:rtl/>
        </w:rPr>
        <w:t>הצענו ליצור הסדר מקביל מכוח תחיקת הביטחון של המפקד הצבאי, ולהפעיל את הסנגוריה הצבאית</w:t>
      </w:r>
      <w:r w:rsidR="000B764C" w:rsidRPr="001A0B66">
        <w:rPr>
          <w:rFonts w:ascii="FrankRuehl" w:hAnsi="FrankRuehl" w:cs="FrankRuehl"/>
          <w:sz w:val="28"/>
          <w:szCs w:val="28"/>
          <w:rtl/>
        </w:rPr>
        <w:t xml:space="preserve"> לצד </w:t>
      </w:r>
      <w:r w:rsidR="00D44BF9" w:rsidRPr="001A0B66">
        <w:rPr>
          <w:rFonts w:ascii="FrankRuehl" w:hAnsi="FrankRuehl" w:cs="FrankRuehl"/>
          <w:sz w:val="28"/>
          <w:szCs w:val="28"/>
          <w:rtl/>
        </w:rPr>
        <w:t xml:space="preserve">עורכי דין מיוחדים פרטיים, </w:t>
      </w:r>
      <w:r w:rsidR="000B764C" w:rsidRPr="001A0B66">
        <w:rPr>
          <w:rFonts w:ascii="FrankRuehl" w:hAnsi="FrankRuehl" w:cs="FrankRuehl"/>
          <w:sz w:val="28"/>
          <w:szCs w:val="28"/>
          <w:rtl/>
        </w:rPr>
        <w:t xml:space="preserve">כך שישמשו </w:t>
      </w:r>
      <w:r w:rsidR="00D44BF9" w:rsidRPr="001A0B66">
        <w:rPr>
          <w:rFonts w:ascii="FrankRuehl" w:hAnsi="FrankRuehl" w:cs="FrankRuehl"/>
          <w:sz w:val="28"/>
          <w:szCs w:val="28"/>
          <w:rtl/>
        </w:rPr>
        <w:t>יחדיו מאגר של עורכי דין מיוחדים עבור העצירים המנהליים הפלסטינים.</w:t>
      </w:r>
    </w:p>
    <w:p w14:paraId="61FF8537" w14:textId="77777777" w:rsidR="00D44BF9" w:rsidRPr="001A0B66" w:rsidRDefault="00D44BF9"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אשר לתוכן ההסדר</w:t>
      </w:r>
      <w:r w:rsidR="00801279" w:rsidRPr="001A0B66">
        <w:rPr>
          <w:rFonts w:ascii="FrankRuehl" w:hAnsi="FrankRuehl" w:cs="FrankRuehl"/>
          <w:sz w:val="28"/>
          <w:szCs w:val="28"/>
          <w:rtl/>
        </w:rPr>
        <w:t xml:space="preserve">, </w:t>
      </w:r>
      <w:r w:rsidR="000B764C" w:rsidRPr="001A0B66">
        <w:rPr>
          <w:rFonts w:ascii="FrankRuehl" w:hAnsi="FrankRuehl" w:cs="FrankRuehl"/>
          <w:sz w:val="28"/>
          <w:szCs w:val="28"/>
          <w:rtl/>
        </w:rPr>
        <w:t xml:space="preserve">מוסכם </w:t>
      </w:r>
      <w:r w:rsidRPr="001A0B66">
        <w:rPr>
          <w:rFonts w:ascii="FrankRuehl" w:hAnsi="FrankRuehl" w:cs="FrankRuehl"/>
          <w:sz w:val="28"/>
          <w:szCs w:val="28"/>
          <w:rtl/>
        </w:rPr>
        <w:t>כי עור</w:t>
      </w:r>
      <w:r w:rsidR="00C669B7" w:rsidRPr="001A0B66">
        <w:rPr>
          <w:rFonts w:ascii="FrankRuehl" w:hAnsi="FrankRuehl" w:cs="FrankRuehl"/>
          <w:sz w:val="28"/>
          <w:szCs w:val="28"/>
          <w:rtl/>
        </w:rPr>
        <w:t>כת</w:t>
      </w:r>
      <w:r w:rsidRPr="001A0B66">
        <w:rPr>
          <w:rFonts w:ascii="FrankRuehl" w:hAnsi="FrankRuehl" w:cs="FrankRuehl"/>
          <w:sz w:val="28"/>
          <w:szCs w:val="28"/>
          <w:rtl/>
        </w:rPr>
        <w:t xml:space="preserve"> הדין המיוחד</w:t>
      </w:r>
      <w:r w:rsidR="00C669B7" w:rsidRPr="001A0B66">
        <w:rPr>
          <w:rFonts w:ascii="FrankRuehl" w:hAnsi="FrankRuehl" w:cs="FrankRuehl"/>
          <w:sz w:val="28"/>
          <w:szCs w:val="28"/>
          <w:rtl/>
        </w:rPr>
        <w:t>ת</w:t>
      </w:r>
      <w:r w:rsidRPr="001A0B66">
        <w:rPr>
          <w:rFonts w:ascii="FrankRuehl" w:hAnsi="FrankRuehl" w:cs="FrankRuehl"/>
          <w:sz w:val="28"/>
          <w:szCs w:val="28"/>
          <w:rtl/>
        </w:rPr>
        <w:t xml:space="preserve"> לא </w:t>
      </w:r>
      <w:r w:rsidR="00C669B7" w:rsidRPr="001A0B66">
        <w:rPr>
          <w:rFonts w:ascii="FrankRuehl" w:hAnsi="FrankRuehl" w:cs="FrankRuehl"/>
          <w:sz w:val="28"/>
          <w:szCs w:val="28"/>
          <w:rtl/>
        </w:rPr>
        <w:t>ת</w:t>
      </w:r>
      <w:r w:rsidRPr="001A0B66">
        <w:rPr>
          <w:rFonts w:ascii="FrankRuehl" w:hAnsi="FrankRuehl" w:cs="FrankRuehl"/>
          <w:sz w:val="28"/>
          <w:szCs w:val="28"/>
          <w:rtl/>
        </w:rPr>
        <w:t xml:space="preserve">וכל לפגוש את האדם לאחר </w:t>
      </w:r>
      <w:r w:rsidR="000B764C" w:rsidRPr="001A0B66">
        <w:rPr>
          <w:rFonts w:ascii="FrankRuehl" w:hAnsi="FrankRuehl" w:cs="FrankRuehl"/>
          <w:sz w:val="28"/>
          <w:szCs w:val="28"/>
          <w:rtl/>
        </w:rPr>
        <w:t>ש</w:t>
      </w:r>
      <w:r w:rsidR="00C669B7" w:rsidRPr="001A0B66">
        <w:rPr>
          <w:rFonts w:ascii="FrankRuehl" w:hAnsi="FrankRuehl" w:cs="FrankRuehl"/>
          <w:sz w:val="28"/>
          <w:szCs w:val="28"/>
          <w:rtl/>
        </w:rPr>
        <w:t>עיינה ב</w:t>
      </w:r>
      <w:r w:rsidRPr="001A0B66">
        <w:rPr>
          <w:rFonts w:ascii="FrankRuehl" w:hAnsi="FrankRuehl" w:cs="FrankRuehl"/>
          <w:sz w:val="28"/>
          <w:szCs w:val="28"/>
          <w:rtl/>
        </w:rPr>
        <w:t>חומר החסוי. הסכמ</w:t>
      </w:r>
      <w:r w:rsidR="000B764C" w:rsidRPr="001A0B66">
        <w:rPr>
          <w:rFonts w:ascii="FrankRuehl" w:hAnsi="FrankRuehl" w:cs="FrankRuehl"/>
          <w:sz w:val="28"/>
          <w:szCs w:val="28"/>
          <w:rtl/>
        </w:rPr>
        <w:t>ה זו</w:t>
      </w:r>
      <w:r w:rsidRPr="001A0B66">
        <w:rPr>
          <w:rFonts w:ascii="FrankRuehl" w:hAnsi="FrankRuehl" w:cs="FrankRuehl"/>
          <w:sz w:val="28"/>
          <w:szCs w:val="28"/>
          <w:rtl/>
        </w:rPr>
        <w:t xml:space="preserve"> </w:t>
      </w:r>
      <w:r w:rsidR="000B764C" w:rsidRPr="001A0B66">
        <w:rPr>
          <w:rFonts w:ascii="FrankRuehl" w:hAnsi="FrankRuehl" w:cs="FrankRuehl"/>
          <w:sz w:val="28"/>
          <w:szCs w:val="28"/>
          <w:rtl/>
        </w:rPr>
        <w:t xml:space="preserve">נובעת </w:t>
      </w:r>
      <w:r w:rsidRPr="001A0B66">
        <w:rPr>
          <w:rFonts w:ascii="FrankRuehl" w:hAnsi="FrankRuehl" w:cs="FrankRuehl"/>
          <w:sz w:val="28"/>
          <w:szCs w:val="28"/>
          <w:rtl/>
        </w:rPr>
        <w:t>מ</w:t>
      </w:r>
      <w:r w:rsidR="00C669B7" w:rsidRPr="001A0B66">
        <w:rPr>
          <w:rFonts w:ascii="FrankRuehl" w:hAnsi="FrankRuehl" w:cs="FrankRuehl"/>
          <w:sz w:val="28"/>
          <w:szCs w:val="28"/>
          <w:rtl/>
        </w:rPr>
        <w:t>מרכזיות החשש לדליפת מידע ביטחוני ומ</w:t>
      </w:r>
      <w:r w:rsidRPr="001A0B66">
        <w:rPr>
          <w:rFonts w:ascii="FrankRuehl" w:hAnsi="FrankRuehl" w:cs="FrankRuehl"/>
          <w:sz w:val="28"/>
          <w:szCs w:val="28"/>
          <w:rtl/>
        </w:rPr>
        <w:t xml:space="preserve">הרצון להרחיב את מעגל עורכי הדין המיוחדים ולכלול בהם עורכי דין ערבים רבים. דרשנו עוד כי תופעל </w:t>
      </w:r>
      <w:r w:rsidR="00195803" w:rsidRPr="001A0B66">
        <w:rPr>
          <w:rFonts w:ascii="FrankRuehl" w:hAnsi="FrankRuehl" w:cs="FrankRuehl"/>
          <w:sz w:val="28"/>
          <w:szCs w:val="28"/>
          <w:rtl/>
        </w:rPr>
        <w:t xml:space="preserve">בקרה </w:t>
      </w:r>
      <w:r w:rsidRPr="001A0B66">
        <w:rPr>
          <w:rFonts w:ascii="FrankRuehl" w:hAnsi="FrankRuehl" w:cs="FrankRuehl"/>
          <w:sz w:val="28"/>
          <w:szCs w:val="28"/>
          <w:rtl/>
        </w:rPr>
        <w:t xml:space="preserve">של ממש על הרחבת התמצית </w:t>
      </w:r>
      <w:r w:rsidR="000B764C" w:rsidRPr="001A0B66">
        <w:rPr>
          <w:rFonts w:ascii="FrankRuehl" w:hAnsi="FrankRuehl" w:cs="FrankRuehl"/>
          <w:sz w:val="28"/>
          <w:szCs w:val="28"/>
          <w:rtl/>
        </w:rPr>
        <w:t>(</w:t>
      </w:r>
      <w:r w:rsidRPr="001A0B66">
        <w:rPr>
          <w:rFonts w:ascii="FrankRuehl" w:hAnsi="FrankRuehl" w:cs="FrankRuehl"/>
          <w:sz w:val="28"/>
          <w:szCs w:val="28"/>
          <w:rtl/>
        </w:rPr>
        <w:t>הפרפרזה</w:t>
      </w:r>
      <w:r w:rsidR="000B764C" w:rsidRPr="001A0B66">
        <w:rPr>
          <w:rFonts w:ascii="FrankRuehl" w:hAnsi="FrankRuehl" w:cs="FrankRuehl"/>
          <w:sz w:val="28"/>
          <w:szCs w:val="28"/>
          <w:rtl/>
        </w:rPr>
        <w:t>)</w:t>
      </w:r>
      <w:r w:rsidRPr="001A0B66">
        <w:rPr>
          <w:rFonts w:ascii="FrankRuehl" w:hAnsi="FrankRuehl" w:cs="FrankRuehl"/>
          <w:sz w:val="28"/>
          <w:szCs w:val="28"/>
          <w:rtl/>
        </w:rPr>
        <w:t xml:space="preserve"> שמספק </w:t>
      </w:r>
      <w:r w:rsidR="002F32C4" w:rsidRPr="001A0B66">
        <w:rPr>
          <w:rFonts w:ascii="FrankRuehl" w:hAnsi="FrankRuehl" w:cs="FrankRuehl"/>
          <w:sz w:val="28"/>
          <w:szCs w:val="28"/>
          <w:rtl/>
        </w:rPr>
        <w:t>השב"כ</w:t>
      </w:r>
      <w:r w:rsidRPr="001A0B66">
        <w:rPr>
          <w:rFonts w:ascii="FrankRuehl" w:hAnsi="FrankRuehl" w:cs="FrankRuehl"/>
          <w:sz w:val="28"/>
          <w:szCs w:val="28"/>
          <w:rtl/>
        </w:rPr>
        <w:t xml:space="preserve"> לבני</w:t>
      </w:r>
      <w:r w:rsidR="000B764C" w:rsidRPr="001A0B66">
        <w:rPr>
          <w:rFonts w:ascii="FrankRuehl" w:hAnsi="FrankRuehl" w:cs="FrankRuehl"/>
          <w:sz w:val="28"/>
          <w:szCs w:val="28"/>
          <w:rtl/>
        </w:rPr>
        <w:t xml:space="preserve"> </w:t>
      </w:r>
      <w:r w:rsidRPr="001A0B66">
        <w:rPr>
          <w:rFonts w:ascii="FrankRuehl" w:hAnsi="FrankRuehl" w:cs="FrankRuehl"/>
          <w:sz w:val="28"/>
          <w:szCs w:val="28"/>
          <w:rtl/>
        </w:rPr>
        <w:t xml:space="preserve">האדם </w:t>
      </w:r>
      <w:r w:rsidR="000B764C" w:rsidRPr="001A0B66">
        <w:rPr>
          <w:rFonts w:ascii="FrankRuehl" w:hAnsi="FrankRuehl" w:cs="FrankRuehl"/>
          <w:sz w:val="28"/>
          <w:szCs w:val="28"/>
          <w:rtl/>
        </w:rPr>
        <w:t xml:space="preserve">שבעניינם </w:t>
      </w:r>
      <w:r w:rsidRPr="001A0B66">
        <w:rPr>
          <w:rFonts w:ascii="FrankRuehl" w:hAnsi="FrankRuehl" w:cs="FrankRuehl"/>
          <w:sz w:val="28"/>
          <w:szCs w:val="28"/>
          <w:rtl/>
        </w:rPr>
        <w:t>מופעלות הראיות החסויות</w:t>
      </w:r>
      <w:r w:rsidR="000B764C" w:rsidRPr="001A0B66">
        <w:rPr>
          <w:rFonts w:ascii="FrankRuehl" w:hAnsi="FrankRuehl" w:cs="FrankRuehl"/>
          <w:sz w:val="28"/>
          <w:szCs w:val="28"/>
          <w:rtl/>
        </w:rPr>
        <w:t>, כדי שתתאפשר להם</w:t>
      </w:r>
      <w:r w:rsidR="008D7416" w:rsidRPr="001A0B66">
        <w:rPr>
          <w:rFonts w:ascii="FrankRuehl" w:hAnsi="FrankRuehl" w:cs="FrankRuehl"/>
          <w:sz w:val="28"/>
          <w:szCs w:val="28"/>
          <w:rtl/>
        </w:rPr>
        <w:t xml:space="preserve"> </w:t>
      </w:r>
      <w:r w:rsidRPr="001A0B66">
        <w:rPr>
          <w:rFonts w:ascii="FrankRuehl" w:hAnsi="FrankRuehl" w:cs="FrankRuehl"/>
          <w:sz w:val="28"/>
          <w:szCs w:val="28"/>
          <w:rtl/>
        </w:rPr>
        <w:t xml:space="preserve">הגנה אפקטיבית יותר. </w:t>
      </w:r>
    </w:p>
    <w:p w14:paraId="22A66F31" w14:textId="77777777" w:rsidR="00D44BF9" w:rsidRPr="001A0B66" w:rsidRDefault="000B764C"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כללנו בהצעת החוק</w:t>
      </w:r>
      <w:r w:rsidR="00D44BF9" w:rsidRPr="001A0B66">
        <w:rPr>
          <w:rFonts w:ascii="FrankRuehl" w:hAnsi="FrankRuehl" w:cs="FrankRuehl"/>
          <w:sz w:val="28"/>
          <w:szCs w:val="28"/>
          <w:rtl/>
        </w:rPr>
        <w:t xml:space="preserve"> </w:t>
      </w:r>
      <w:r w:rsidR="00ED174F" w:rsidRPr="001A0B66">
        <w:rPr>
          <w:rFonts w:ascii="FrankRuehl" w:hAnsi="FrankRuehl" w:cs="FrankRuehl"/>
          <w:sz w:val="28"/>
          <w:szCs w:val="28"/>
          <w:rtl/>
        </w:rPr>
        <w:t>סוגיה</w:t>
      </w:r>
      <w:r w:rsidR="00D44BF9" w:rsidRPr="001A0B66">
        <w:rPr>
          <w:rFonts w:ascii="FrankRuehl" w:hAnsi="FrankRuehl" w:cs="FrankRuehl"/>
          <w:sz w:val="28"/>
          <w:szCs w:val="28"/>
          <w:rtl/>
        </w:rPr>
        <w:t xml:space="preserve"> ש</w:t>
      </w:r>
      <w:r w:rsidRPr="001A0B66">
        <w:rPr>
          <w:rFonts w:ascii="FrankRuehl" w:hAnsi="FrankRuehl" w:cs="FrankRuehl"/>
          <w:sz w:val="28"/>
          <w:szCs w:val="28"/>
          <w:rtl/>
        </w:rPr>
        <w:t xml:space="preserve">במשך </w:t>
      </w:r>
      <w:r w:rsidR="00D44BF9" w:rsidRPr="001A0B66">
        <w:rPr>
          <w:rFonts w:ascii="FrankRuehl" w:hAnsi="FrankRuehl" w:cs="FrankRuehl"/>
          <w:sz w:val="28"/>
          <w:szCs w:val="28"/>
          <w:rtl/>
        </w:rPr>
        <w:t>שנים ארוכות הייתה "מתחת לר</w:t>
      </w:r>
      <w:r w:rsidR="008D7416" w:rsidRPr="001A0B66">
        <w:rPr>
          <w:rFonts w:ascii="FrankRuehl" w:hAnsi="FrankRuehl" w:cs="FrankRuehl"/>
          <w:sz w:val="28"/>
          <w:szCs w:val="28"/>
          <w:rtl/>
        </w:rPr>
        <w:t>דא</w:t>
      </w:r>
      <w:r w:rsidR="00D44BF9" w:rsidRPr="001A0B66">
        <w:rPr>
          <w:rFonts w:ascii="FrankRuehl" w:hAnsi="FrankRuehl" w:cs="FrankRuehl"/>
          <w:sz w:val="28"/>
          <w:szCs w:val="28"/>
          <w:rtl/>
        </w:rPr>
        <w:t>ר"</w:t>
      </w:r>
      <w:r w:rsidRPr="001A0B66">
        <w:rPr>
          <w:rFonts w:ascii="FrankRuehl" w:hAnsi="FrankRuehl" w:cs="FrankRuehl"/>
          <w:sz w:val="28"/>
          <w:szCs w:val="28"/>
          <w:rtl/>
        </w:rPr>
        <w:t xml:space="preserve"> –</w:t>
      </w:r>
      <w:r w:rsidR="00D44BF9" w:rsidRPr="001A0B66">
        <w:rPr>
          <w:rFonts w:ascii="FrankRuehl" w:hAnsi="FrankRuehl" w:cs="FrankRuehl"/>
          <w:sz w:val="28"/>
          <w:szCs w:val="28"/>
          <w:rtl/>
        </w:rPr>
        <w:t xml:space="preserve"> </w:t>
      </w:r>
      <w:r w:rsidR="00ED174F" w:rsidRPr="001A0B66">
        <w:rPr>
          <w:rFonts w:ascii="FrankRuehl" w:hAnsi="FrankRuehl" w:cs="FrankRuehl"/>
          <w:sz w:val="28"/>
          <w:szCs w:val="28"/>
          <w:rtl/>
        </w:rPr>
        <w:t xml:space="preserve">האפשרות </w:t>
      </w:r>
      <w:r w:rsidR="00D44BF9" w:rsidRPr="001A0B66">
        <w:rPr>
          <w:rFonts w:ascii="FrankRuehl" w:hAnsi="FrankRuehl" w:cs="FrankRuehl"/>
          <w:sz w:val="28"/>
          <w:szCs w:val="28"/>
          <w:rtl/>
        </w:rPr>
        <w:t>להסתייע במתורגמנים</w:t>
      </w:r>
      <w:r w:rsidR="001028D3" w:rsidRPr="001A0B66">
        <w:rPr>
          <w:rFonts w:ascii="FrankRuehl" w:hAnsi="FrankRuehl" w:cs="FrankRuehl"/>
          <w:sz w:val="28"/>
          <w:szCs w:val="28"/>
          <w:rtl/>
        </w:rPr>
        <w:t xml:space="preserve"> במימון המדינה,</w:t>
      </w:r>
      <w:r w:rsidR="00D44BF9" w:rsidRPr="001A0B66">
        <w:rPr>
          <w:rFonts w:ascii="FrankRuehl" w:hAnsi="FrankRuehl" w:cs="FrankRuehl"/>
          <w:sz w:val="28"/>
          <w:szCs w:val="28"/>
          <w:rtl/>
        </w:rPr>
        <w:t xml:space="preserve"> כדי להבין את חומר הגלם המודיעיני</w:t>
      </w:r>
      <w:r w:rsidR="00ED174F" w:rsidRPr="001A0B66">
        <w:rPr>
          <w:rFonts w:ascii="FrankRuehl" w:hAnsi="FrankRuehl" w:cs="FrankRuehl"/>
          <w:sz w:val="28"/>
          <w:szCs w:val="28"/>
          <w:rtl/>
        </w:rPr>
        <w:t xml:space="preserve"> באופן המדויק ביותר</w:t>
      </w:r>
      <w:r w:rsidR="00D44BF9" w:rsidRPr="001A0B66">
        <w:rPr>
          <w:rFonts w:ascii="FrankRuehl" w:hAnsi="FrankRuehl" w:cs="FrankRuehl"/>
          <w:sz w:val="28"/>
          <w:szCs w:val="28"/>
          <w:rtl/>
        </w:rPr>
        <w:t xml:space="preserve">; </w:t>
      </w:r>
      <w:r w:rsidRPr="001A0B66">
        <w:rPr>
          <w:rFonts w:ascii="FrankRuehl" w:hAnsi="FrankRuehl" w:cs="FrankRuehl"/>
          <w:sz w:val="28"/>
          <w:szCs w:val="28"/>
          <w:rtl/>
        </w:rPr>
        <w:t xml:space="preserve">עוד </w:t>
      </w:r>
      <w:r w:rsidR="00A762E0" w:rsidRPr="001A0B66">
        <w:rPr>
          <w:rFonts w:ascii="FrankRuehl" w:hAnsi="FrankRuehl" w:cs="FrankRuehl"/>
          <w:sz w:val="28"/>
          <w:szCs w:val="28"/>
          <w:rtl/>
        </w:rPr>
        <w:t>ביקשנו לגבש אפשרות ברורה</w:t>
      </w:r>
      <w:r w:rsidR="000B05E7" w:rsidRPr="001A0B66">
        <w:rPr>
          <w:rFonts w:ascii="FrankRuehl" w:hAnsi="FrankRuehl" w:cs="FrankRuehl"/>
          <w:sz w:val="28"/>
          <w:szCs w:val="28"/>
          <w:rtl/>
        </w:rPr>
        <w:t xml:space="preserve"> לעורכי הדין המיוחדים לחקור את </w:t>
      </w:r>
      <w:r w:rsidR="00D44BF9" w:rsidRPr="001A0B66">
        <w:rPr>
          <w:rFonts w:ascii="FrankRuehl" w:hAnsi="FrankRuehl" w:cs="FrankRuehl"/>
          <w:sz w:val="28"/>
          <w:szCs w:val="28"/>
          <w:rtl/>
        </w:rPr>
        <w:t xml:space="preserve">חוקרי השב"כ </w:t>
      </w:r>
      <w:r w:rsidRPr="001A0B66">
        <w:rPr>
          <w:rFonts w:ascii="FrankRuehl" w:hAnsi="FrankRuehl" w:cs="FrankRuehl"/>
          <w:sz w:val="28"/>
          <w:szCs w:val="28"/>
          <w:rtl/>
        </w:rPr>
        <w:t>ע</w:t>
      </w:r>
      <w:r w:rsidR="00D44BF9" w:rsidRPr="001A0B66">
        <w:rPr>
          <w:rFonts w:ascii="FrankRuehl" w:hAnsi="FrankRuehl" w:cs="FrankRuehl"/>
          <w:sz w:val="28"/>
          <w:szCs w:val="28"/>
          <w:rtl/>
        </w:rPr>
        <w:t>ל</w:t>
      </w:r>
      <w:r w:rsidRPr="001A0B66">
        <w:rPr>
          <w:rFonts w:ascii="FrankRuehl" w:hAnsi="FrankRuehl" w:cs="FrankRuehl"/>
          <w:sz w:val="28"/>
          <w:szCs w:val="28"/>
          <w:rtl/>
        </w:rPr>
        <w:t xml:space="preserve"> </w:t>
      </w:r>
      <w:r w:rsidR="00D44BF9" w:rsidRPr="001A0B66">
        <w:rPr>
          <w:rFonts w:ascii="FrankRuehl" w:hAnsi="FrankRuehl" w:cs="FrankRuehl"/>
          <w:sz w:val="28"/>
          <w:szCs w:val="28"/>
          <w:rtl/>
        </w:rPr>
        <w:t>חומר שאספו ו</w:t>
      </w:r>
      <w:r w:rsidRPr="001A0B66">
        <w:rPr>
          <w:rFonts w:ascii="FrankRuehl" w:hAnsi="FrankRuehl" w:cs="FrankRuehl"/>
          <w:sz w:val="28"/>
          <w:szCs w:val="28"/>
          <w:rtl/>
        </w:rPr>
        <w:t>ש</w:t>
      </w:r>
      <w:r w:rsidR="00D44BF9" w:rsidRPr="001A0B66">
        <w:rPr>
          <w:rFonts w:ascii="FrankRuehl" w:hAnsi="FrankRuehl" w:cs="FrankRuehl"/>
          <w:sz w:val="28"/>
          <w:szCs w:val="28"/>
          <w:rtl/>
        </w:rPr>
        <w:t xml:space="preserve">עליו הם מתבססים. </w:t>
      </w:r>
    </w:p>
    <w:p w14:paraId="660466F7" w14:textId="77777777" w:rsidR="00D44BF9" w:rsidRPr="001A0B66" w:rsidRDefault="00D44BF9"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הצעת החוק שהייתה ציר הדיון במאמר מסתמכת </w:t>
      </w:r>
      <w:r w:rsidR="000B764C" w:rsidRPr="001A0B66">
        <w:rPr>
          <w:rFonts w:ascii="FrankRuehl" w:hAnsi="FrankRuehl" w:cs="FrankRuehl"/>
          <w:sz w:val="28"/>
          <w:szCs w:val="28"/>
          <w:rtl/>
        </w:rPr>
        <w:t xml:space="preserve">במידה רבה </w:t>
      </w:r>
      <w:r w:rsidRPr="001A0B66">
        <w:rPr>
          <w:rFonts w:ascii="FrankRuehl" w:hAnsi="FrankRuehl" w:cs="FrankRuehl"/>
          <w:sz w:val="28"/>
          <w:szCs w:val="28"/>
          <w:rtl/>
        </w:rPr>
        <w:t>על הסנגוריה הציבורית. אנו מבקשים להרחיב זאת עוד</w:t>
      </w:r>
      <w:r w:rsidR="000B764C" w:rsidRPr="001A0B66">
        <w:rPr>
          <w:rFonts w:ascii="FrankRuehl" w:hAnsi="FrankRuehl" w:cs="FrankRuehl"/>
          <w:sz w:val="28"/>
          <w:szCs w:val="28"/>
          <w:rtl/>
        </w:rPr>
        <w:t>:</w:t>
      </w:r>
      <w:r w:rsidRPr="001A0B66">
        <w:rPr>
          <w:rFonts w:ascii="FrankRuehl" w:hAnsi="FrankRuehl" w:cs="FrankRuehl"/>
          <w:sz w:val="28"/>
          <w:szCs w:val="28"/>
          <w:rtl/>
        </w:rPr>
        <w:t xml:space="preserve"> בכפוף ל</w:t>
      </w:r>
      <w:r w:rsidR="000B764C" w:rsidRPr="001A0B66">
        <w:rPr>
          <w:rFonts w:ascii="FrankRuehl" w:hAnsi="FrankRuehl" w:cs="FrankRuehl"/>
          <w:sz w:val="28"/>
          <w:szCs w:val="28"/>
          <w:rtl/>
        </w:rPr>
        <w:t xml:space="preserve">כך </w:t>
      </w:r>
      <w:r w:rsidR="002F32C4" w:rsidRPr="001A0B66">
        <w:rPr>
          <w:rFonts w:ascii="FrankRuehl" w:hAnsi="FrankRuehl" w:cs="FrankRuehl"/>
          <w:sz w:val="28"/>
          <w:szCs w:val="28"/>
          <w:rtl/>
        </w:rPr>
        <w:t>ש</w:t>
      </w:r>
      <w:r w:rsidR="00ED174F" w:rsidRPr="001A0B66">
        <w:rPr>
          <w:rFonts w:ascii="FrankRuehl" w:hAnsi="FrankRuehl" w:cs="FrankRuehl"/>
          <w:sz w:val="28"/>
          <w:szCs w:val="28"/>
          <w:rtl/>
        </w:rPr>
        <w:t>הוועדה תע</w:t>
      </w:r>
      <w:r w:rsidR="000B764C" w:rsidRPr="001A0B66">
        <w:rPr>
          <w:rFonts w:ascii="FrankRuehl" w:hAnsi="FrankRuehl" w:cs="FrankRuehl"/>
          <w:sz w:val="28"/>
          <w:szCs w:val="28"/>
          <w:rtl/>
        </w:rPr>
        <w:t xml:space="preserve">ניק </w:t>
      </w:r>
      <w:r w:rsidRPr="001A0B66">
        <w:rPr>
          <w:rFonts w:ascii="FrankRuehl" w:hAnsi="FrankRuehl" w:cs="FrankRuehl"/>
          <w:sz w:val="28"/>
          <w:szCs w:val="28"/>
          <w:rtl/>
        </w:rPr>
        <w:t>סיווג ביטחוני לעורכי הדין המיוחדים</w:t>
      </w:r>
      <w:r w:rsidR="000B764C" w:rsidRPr="001A0B66">
        <w:rPr>
          <w:rFonts w:ascii="FrankRuehl" w:hAnsi="FrankRuehl" w:cs="FrankRuehl"/>
          <w:sz w:val="28"/>
          <w:szCs w:val="28"/>
          <w:rtl/>
        </w:rPr>
        <w:t xml:space="preserve"> </w:t>
      </w:r>
      <w:r w:rsidRPr="001A0B66">
        <w:rPr>
          <w:rFonts w:ascii="FrankRuehl" w:hAnsi="FrankRuehl" w:cs="FrankRuehl"/>
          <w:sz w:val="28"/>
          <w:szCs w:val="28"/>
          <w:rtl/>
        </w:rPr>
        <w:t xml:space="preserve">– סיווג שאינו צריך להיות גבוה, </w:t>
      </w:r>
      <w:r w:rsidR="000B764C" w:rsidRPr="001A0B66">
        <w:rPr>
          <w:rFonts w:ascii="FrankRuehl" w:hAnsi="FrankRuehl" w:cs="FrankRuehl"/>
          <w:sz w:val="28"/>
          <w:szCs w:val="28"/>
          <w:rtl/>
        </w:rPr>
        <w:t>בשל האיסור על</w:t>
      </w:r>
      <w:r w:rsidRPr="001A0B66">
        <w:rPr>
          <w:rFonts w:ascii="FrankRuehl" w:hAnsi="FrankRuehl" w:cs="FrankRuehl"/>
          <w:sz w:val="28"/>
          <w:szCs w:val="28"/>
          <w:rtl/>
        </w:rPr>
        <w:t xml:space="preserve"> מפגש בין האדם לבין עורך הדין המיוחד לאחר שזה עיין בחומר הסודי – תהיה זאת הסנגוריה הציבורית שת</w:t>
      </w:r>
      <w:r w:rsidR="00C12EAC" w:rsidRPr="001A0B66">
        <w:rPr>
          <w:rFonts w:ascii="FrankRuehl" w:hAnsi="FrankRuehl" w:cs="FrankRuehl"/>
          <w:sz w:val="28"/>
          <w:szCs w:val="28"/>
          <w:rtl/>
        </w:rPr>
        <w:t>אשר</w:t>
      </w:r>
      <w:r w:rsidRPr="001A0B66">
        <w:rPr>
          <w:rFonts w:ascii="FrankRuehl" w:hAnsi="FrankRuehl" w:cs="FrankRuehl"/>
          <w:sz w:val="28"/>
          <w:szCs w:val="28"/>
          <w:rtl/>
        </w:rPr>
        <w:t xml:space="preserve"> את עורכי הדין המיוחדים, וכך מכלול ההסדר בתחומי ישראל יהיה באחריותה. </w:t>
      </w:r>
    </w:p>
    <w:p w14:paraId="51EF0C76" w14:textId="77777777" w:rsidR="00BF3736" w:rsidRPr="001A0B66" w:rsidRDefault="00D44BF9" w:rsidP="00F307FB">
      <w:pPr>
        <w:pStyle w:val="a0"/>
        <w:spacing w:line="276" w:lineRule="auto"/>
        <w:rPr>
          <w:rFonts w:ascii="FrankRuehl" w:hAnsi="FrankRuehl" w:cs="FrankRuehl"/>
          <w:sz w:val="28"/>
          <w:szCs w:val="28"/>
          <w:rtl/>
        </w:rPr>
      </w:pPr>
      <w:r w:rsidRPr="001A0B66">
        <w:rPr>
          <w:rFonts w:ascii="FrankRuehl" w:hAnsi="FrankRuehl" w:cs="FrankRuehl"/>
          <w:sz w:val="28"/>
          <w:szCs w:val="28"/>
          <w:rtl/>
        </w:rPr>
        <w:t xml:space="preserve">מצב הדברים במציאות העכשווית של ישראל, ללא התיקון המוצע, מסתמך כל כולו על הנחות מעורפלות ביחס לתפקיד אקטיבי וחשוב, מעין-אינקוויזיטורי, </w:t>
      </w:r>
      <w:r w:rsidR="00922BE1" w:rsidRPr="001A0B66">
        <w:rPr>
          <w:rFonts w:ascii="FrankRuehl" w:hAnsi="FrankRuehl" w:cs="FrankRuehl"/>
          <w:sz w:val="28"/>
          <w:szCs w:val="28"/>
          <w:rtl/>
        </w:rPr>
        <w:t xml:space="preserve">של </w:t>
      </w:r>
      <w:r w:rsidRPr="001A0B66">
        <w:rPr>
          <w:rFonts w:ascii="FrankRuehl" w:hAnsi="FrankRuehl" w:cs="FrankRuehl"/>
          <w:sz w:val="28"/>
          <w:szCs w:val="28"/>
          <w:rtl/>
        </w:rPr>
        <w:t xml:space="preserve">השופטים המפעילים בקרה שיפוטית. הנחות </w:t>
      </w:r>
      <w:r w:rsidR="00922BE1" w:rsidRPr="001A0B66">
        <w:rPr>
          <w:rFonts w:ascii="FrankRuehl" w:hAnsi="FrankRuehl" w:cs="FrankRuehl"/>
          <w:sz w:val="28"/>
          <w:szCs w:val="28"/>
          <w:rtl/>
        </w:rPr>
        <w:t xml:space="preserve">אלה </w:t>
      </w:r>
      <w:r w:rsidRPr="001A0B66">
        <w:rPr>
          <w:rFonts w:ascii="FrankRuehl" w:hAnsi="FrankRuehl" w:cs="FrankRuehl"/>
          <w:sz w:val="28"/>
          <w:szCs w:val="28"/>
          <w:rtl/>
        </w:rPr>
        <w:t xml:space="preserve">הן למרבה העצב נטולות ממשות; שנים ארוכות של ניסיון מלמדות כי לא כך קורה, וכנראה גם לא צפוי שיקרה. </w:t>
      </w:r>
      <w:r w:rsidR="00922BE1" w:rsidRPr="001A0B66">
        <w:rPr>
          <w:rFonts w:ascii="FrankRuehl" w:hAnsi="FrankRuehl" w:cs="FrankRuehl"/>
          <w:sz w:val="28"/>
          <w:szCs w:val="28"/>
          <w:rtl/>
        </w:rPr>
        <w:t xml:space="preserve">לפיכך, חובה להחדיר </w:t>
      </w:r>
      <w:r w:rsidRPr="001A0B66">
        <w:rPr>
          <w:rFonts w:ascii="FrankRuehl" w:hAnsi="FrankRuehl" w:cs="FrankRuehl"/>
          <w:sz w:val="28"/>
          <w:szCs w:val="28"/>
          <w:rtl/>
        </w:rPr>
        <w:t xml:space="preserve">אל המודל האדוורסרי של שיטת המשפט שלנו גורם </w:t>
      </w:r>
      <w:r w:rsidR="00922BE1" w:rsidRPr="001A0B66">
        <w:rPr>
          <w:rFonts w:ascii="FrankRuehl" w:hAnsi="FrankRuehl" w:cs="FrankRuehl"/>
          <w:sz w:val="28"/>
          <w:szCs w:val="28"/>
          <w:rtl/>
        </w:rPr>
        <w:t xml:space="preserve">שייצג </w:t>
      </w:r>
      <w:r w:rsidRPr="001A0B66">
        <w:rPr>
          <w:rFonts w:ascii="FrankRuehl" w:hAnsi="FrankRuehl" w:cs="FrankRuehl"/>
          <w:sz w:val="28"/>
          <w:szCs w:val="28"/>
          <w:rtl/>
        </w:rPr>
        <w:t>את האדם</w:t>
      </w:r>
      <w:r w:rsidR="00922BE1" w:rsidRPr="001A0B66">
        <w:rPr>
          <w:rFonts w:ascii="FrankRuehl" w:hAnsi="FrankRuehl" w:cs="FrankRuehl"/>
          <w:sz w:val="28"/>
          <w:szCs w:val="28"/>
          <w:rtl/>
        </w:rPr>
        <w:t>,</w:t>
      </w:r>
      <w:r w:rsidRPr="001A0B66">
        <w:rPr>
          <w:rFonts w:ascii="FrankRuehl" w:hAnsi="FrankRuehl" w:cs="FrankRuehl"/>
          <w:sz w:val="28"/>
          <w:szCs w:val="28"/>
          <w:rtl/>
        </w:rPr>
        <w:t xml:space="preserve"> ו</w:t>
      </w:r>
      <w:r w:rsidR="00922BE1" w:rsidRPr="001A0B66">
        <w:rPr>
          <w:rFonts w:ascii="FrankRuehl" w:hAnsi="FrankRuehl" w:cs="FrankRuehl"/>
          <w:sz w:val="28"/>
          <w:szCs w:val="28"/>
          <w:rtl/>
        </w:rPr>
        <w:t xml:space="preserve">שיש </w:t>
      </w:r>
      <w:r w:rsidRPr="001A0B66">
        <w:rPr>
          <w:rFonts w:ascii="FrankRuehl" w:hAnsi="FrankRuehl" w:cs="FrankRuehl"/>
          <w:sz w:val="28"/>
          <w:szCs w:val="28"/>
          <w:rtl/>
        </w:rPr>
        <w:t xml:space="preserve">בידיו כלים </w:t>
      </w:r>
      <w:r w:rsidR="00844CB1" w:rsidRPr="001A0B66">
        <w:rPr>
          <w:rFonts w:ascii="FrankRuehl" w:hAnsi="FrankRuehl" w:cs="FrankRuehl"/>
          <w:sz w:val="28"/>
          <w:szCs w:val="28"/>
          <w:rtl/>
        </w:rPr>
        <w:t xml:space="preserve">לשנות </w:t>
      </w:r>
      <w:r w:rsidRPr="001A0B66">
        <w:rPr>
          <w:rFonts w:ascii="FrankRuehl" w:hAnsi="FrankRuehl" w:cs="FrankRuehl"/>
          <w:sz w:val="28"/>
          <w:szCs w:val="28"/>
          <w:rtl/>
        </w:rPr>
        <w:t>חלקית את</w:t>
      </w:r>
      <w:r w:rsidR="00A762E0" w:rsidRPr="001A0B66">
        <w:rPr>
          <w:rFonts w:ascii="FrankRuehl" w:hAnsi="FrankRuehl" w:cs="FrankRuehl"/>
          <w:sz w:val="28"/>
          <w:szCs w:val="28"/>
          <w:rtl/>
        </w:rPr>
        <w:t xml:space="preserve"> התהליך המוטה כל כך שיוצרות הראיות החסויות – </w:t>
      </w:r>
      <w:r w:rsidRPr="001A0B66">
        <w:rPr>
          <w:rFonts w:ascii="FrankRuehl" w:hAnsi="FrankRuehl" w:cs="FrankRuehl"/>
          <w:sz w:val="28"/>
          <w:szCs w:val="28"/>
          <w:rtl/>
        </w:rPr>
        <w:t xml:space="preserve">המצב הקפקאי. ההסדר </w:t>
      </w:r>
      <w:r w:rsidR="00922BE1" w:rsidRPr="001A0B66">
        <w:rPr>
          <w:rFonts w:ascii="FrankRuehl" w:hAnsi="FrankRuehl" w:cs="FrankRuehl"/>
          <w:sz w:val="28"/>
          <w:szCs w:val="28"/>
          <w:rtl/>
        </w:rPr>
        <w:t>שאנו מציעים</w:t>
      </w:r>
      <w:r w:rsidRPr="001A0B66">
        <w:rPr>
          <w:rFonts w:ascii="FrankRuehl" w:hAnsi="FrankRuehl" w:cs="FrankRuehl"/>
          <w:sz w:val="28"/>
          <w:szCs w:val="28"/>
          <w:rtl/>
        </w:rPr>
        <w:t xml:space="preserve"> לא יאיין</w:t>
      </w:r>
      <w:r w:rsidR="000B05E7" w:rsidRPr="001A0B66">
        <w:rPr>
          <w:rFonts w:ascii="FrankRuehl" w:hAnsi="FrankRuehl" w:cs="FrankRuehl"/>
          <w:sz w:val="28"/>
          <w:szCs w:val="28"/>
          <w:rtl/>
        </w:rPr>
        <w:t xml:space="preserve"> את הבעייתיות </w:t>
      </w:r>
      <w:r w:rsidR="000B05E7" w:rsidRPr="001A0B66">
        <w:rPr>
          <w:rFonts w:ascii="FrankRuehl" w:hAnsi="FrankRuehl" w:cs="FrankRuehl"/>
          <w:sz w:val="28"/>
          <w:szCs w:val="28"/>
          <w:rtl/>
        </w:rPr>
        <w:lastRenderedPageBreak/>
        <w:t>הרבה הנעוצה ב</w:t>
      </w:r>
      <w:r w:rsidR="00844CB1" w:rsidRPr="001A0B66">
        <w:rPr>
          <w:rFonts w:ascii="FrankRuehl" w:hAnsi="FrankRuehl" w:cs="FrankRuehl"/>
          <w:sz w:val="28"/>
          <w:szCs w:val="28"/>
          <w:rtl/>
        </w:rPr>
        <w:t>שימוש ב</w:t>
      </w:r>
      <w:r w:rsidR="000B05E7" w:rsidRPr="001A0B66">
        <w:rPr>
          <w:rFonts w:ascii="FrankRuehl" w:hAnsi="FrankRuehl" w:cs="FrankRuehl"/>
          <w:sz w:val="28"/>
          <w:szCs w:val="28"/>
          <w:rtl/>
        </w:rPr>
        <w:t>ראיות החסויות,</w:t>
      </w:r>
      <w:r w:rsidR="00BF3736" w:rsidRPr="001A0B66">
        <w:rPr>
          <w:rFonts w:ascii="FrankRuehl" w:hAnsi="FrankRuehl" w:cs="FrankRuehl"/>
          <w:sz w:val="28"/>
          <w:szCs w:val="28"/>
          <w:rtl/>
        </w:rPr>
        <w:t xml:space="preserve"> אבל </w:t>
      </w:r>
      <w:r w:rsidR="000B05E7" w:rsidRPr="001A0B66">
        <w:rPr>
          <w:rFonts w:ascii="FrankRuehl" w:hAnsi="FrankRuehl" w:cs="FrankRuehl"/>
          <w:sz w:val="28"/>
          <w:szCs w:val="28"/>
          <w:rtl/>
        </w:rPr>
        <w:t xml:space="preserve">הוא </w:t>
      </w:r>
      <w:r w:rsidR="00BF3736" w:rsidRPr="001A0B66">
        <w:rPr>
          <w:rFonts w:ascii="FrankRuehl" w:hAnsi="FrankRuehl" w:cs="FrankRuehl"/>
          <w:sz w:val="28"/>
          <w:szCs w:val="28"/>
          <w:rtl/>
        </w:rPr>
        <w:t xml:space="preserve">ימתן </w:t>
      </w:r>
      <w:r w:rsidR="000B05E7" w:rsidRPr="001A0B66">
        <w:rPr>
          <w:rFonts w:ascii="FrankRuehl" w:hAnsi="FrankRuehl" w:cs="FrankRuehl"/>
          <w:sz w:val="28"/>
          <w:szCs w:val="28"/>
          <w:rtl/>
        </w:rPr>
        <w:t xml:space="preserve">במידה </w:t>
      </w:r>
      <w:r w:rsidR="00195803" w:rsidRPr="001A0B66">
        <w:rPr>
          <w:rFonts w:ascii="FrankRuehl" w:hAnsi="FrankRuehl" w:cs="FrankRuehl"/>
          <w:sz w:val="28"/>
          <w:szCs w:val="28"/>
          <w:rtl/>
        </w:rPr>
        <w:t>ניכרת</w:t>
      </w:r>
      <w:r w:rsidR="000B05E7" w:rsidRPr="001A0B66">
        <w:rPr>
          <w:rFonts w:ascii="FrankRuehl" w:hAnsi="FrankRuehl" w:cs="FrankRuehl"/>
          <w:sz w:val="28"/>
          <w:szCs w:val="28"/>
          <w:rtl/>
        </w:rPr>
        <w:t xml:space="preserve"> </w:t>
      </w:r>
      <w:r w:rsidRPr="001A0B66">
        <w:rPr>
          <w:rFonts w:ascii="FrankRuehl" w:hAnsi="FrankRuehl" w:cs="FrankRuehl"/>
          <w:sz w:val="28"/>
          <w:szCs w:val="28"/>
          <w:rtl/>
        </w:rPr>
        <w:t>את המחיר שמשלמים בני</w:t>
      </w:r>
      <w:r w:rsidR="00922BE1" w:rsidRPr="001A0B66">
        <w:rPr>
          <w:rFonts w:ascii="FrankRuehl" w:hAnsi="FrankRuehl" w:cs="FrankRuehl"/>
          <w:sz w:val="28"/>
          <w:szCs w:val="28"/>
          <w:rtl/>
        </w:rPr>
        <w:t xml:space="preserve"> </w:t>
      </w:r>
      <w:r w:rsidRPr="001A0B66">
        <w:rPr>
          <w:rFonts w:ascii="FrankRuehl" w:hAnsi="FrankRuehl" w:cs="FrankRuehl"/>
          <w:sz w:val="28"/>
          <w:szCs w:val="28"/>
          <w:rtl/>
        </w:rPr>
        <w:t xml:space="preserve">אדם שנגדם הופעלו סמכויות </w:t>
      </w:r>
      <w:r w:rsidR="001B51B6" w:rsidRPr="001A0B66">
        <w:rPr>
          <w:rFonts w:ascii="FrankRuehl" w:hAnsi="FrankRuehl" w:cs="FrankRuehl"/>
          <w:sz w:val="28"/>
          <w:szCs w:val="28"/>
          <w:rtl/>
        </w:rPr>
        <w:t>שלטוניות</w:t>
      </w:r>
      <w:r w:rsidR="00C669B7" w:rsidRPr="001A0B66">
        <w:rPr>
          <w:rFonts w:ascii="FrankRuehl" w:hAnsi="FrankRuehl" w:cs="FrankRuehl"/>
          <w:sz w:val="28"/>
          <w:szCs w:val="28"/>
          <w:rtl/>
        </w:rPr>
        <w:t xml:space="preserve"> המתבססות</w:t>
      </w:r>
      <w:r w:rsidRPr="001A0B66">
        <w:rPr>
          <w:rFonts w:ascii="FrankRuehl" w:hAnsi="FrankRuehl" w:cs="FrankRuehl"/>
          <w:sz w:val="28"/>
          <w:szCs w:val="28"/>
          <w:rtl/>
        </w:rPr>
        <w:t xml:space="preserve"> על ראיות חסויות.</w:t>
      </w:r>
      <w:r w:rsidR="00BF3736" w:rsidRPr="001A0B66">
        <w:rPr>
          <w:rFonts w:ascii="FrankRuehl" w:hAnsi="FrankRuehl" w:cs="FrankRuehl"/>
          <w:b/>
          <w:bCs/>
          <w:sz w:val="28"/>
          <w:szCs w:val="28"/>
          <w:rtl/>
        </w:rPr>
        <w:t xml:space="preserve"> </w:t>
      </w:r>
    </w:p>
    <w:p w14:paraId="5ABDF8EF" w14:textId="77777777" w:rsidR="000B05E7" w:rsidRPr="001A0B66" w:rsidRDefault="000B05E7" w:rsidP="00F307FB">
      <w:pPr>
        <w:pStyle w:val="a0"/>
        <w:spacing w:line="276" w:lineRule="auto"/>
        <w:rPr>
          <w:rFonts w:ascii="FrankRuehl" w:hAnsi="FrankRuehl" w:cs="FrankRuehl"/>
          <w:b/>
          <w:bCs/>
          <w:sz w:val="28"/>
          <w:szCs w:val="28"/>
        </w:rPr>
      </w:pPr>
      <w:r w:rsidRPr="001A0B66">
        <w:rPr>
          <w:rFonts w:ascii="FrankRuehl" w:hAnsi="FrankRuehl" w:cs="FrankRuehl"/>
          <w:b/>
          <w:bCs/>
          <w:sz w:val="28"/>
          <w:szCs w:val="28"/>
          <w:rtl/>
        </w:rPr>
        <w:br w:type="page"/>
      </w:r>
    </w:p>
    <w:p w14:paraId="4503E282" w14:textId="77777777" w:rsidR="00BF3736" w:rsidRPr="001A0B66" w:rsidRDefault="00BF3736" w:rsidP="00F307FB">
      <w:pPr>
        <w:spacing w:line="276" w:lineRule="auto"/>
        <w:ind w:firstLine="284"/>
        <w:rPr>
          <w:rFonts w:ascii="FrankRuehl" w:hAnsi="FrankRuehl" w:cs="FrankRuehl"/>
          <w:b/>
          <w:bCs/>
          <w:sz w:val="28"/>
          <w:szCs w:val="28"/>
          <w:rtl/>
        </w:rPr>
      </w:pPr>
    </w:p>
    <w:p w14:paraId="41156E77" w14:textId="77777777" w:rsidR="00F844CC" w:rsidRPr="001A0B66" w:rsidRDefault="00D44BF9" w:rsidP="00F307FB">
      <w:pPr>
        <w:pStyle w:val="Heading1"/>
        <w:numPr>
          <w:ilvl w:val="0"/>
          <w:numId w:val="0"/>
        </w:numPr>
        <w:spacing w:line="276" w:lineRule="auto"/>
        <w:ind w:left="432" w:hanging="432"/>
        <w:rPr>
          <w:rFonts w:ascii="FrankRuehl" w:hAnsi="FrankRuehl" w:cs="FrankRuehl"/>
        </w:rPr>
      </w:pPr>
      <w:bookmarkStart w:id="108" w:name="_Toc52984570"/>
      <w:bookmarkStart w:id="109" w:name="_Toc53124436"/>
      <w:bookmarkStart w:id="110" w:name="_Toc53143387"/>
      <w:r w:rsidRPr="001A0B66">
        <w:rPr>
          <w:rFonts w:ascii="FrankRuehl" w:hAnsi="FrankRuehl" w:cs="FrankRuehl"/>
          <w:rtl/>
        </w:rPr>
        <w:t xml:space="preserve">נספח </w:t>
      </w:r>
      <w:r w:rsidR="002C6EA8" w:rsidRPr="001A0B66">
        <w:rPr>
          <w:rFonts w:ascii="FrankRuehl" w:hAnsi="FrankRuehl" w:cs="FrankRuehl"/>
          <w:rtl/>
        </w:rPr>
        <w:t>–</w:t>
      </w:r>
      <w:r w:rsidRPr="001A0B66">
        <w:rPr>
          <w:rFonts w:ascii="FrankRuehl" w:hAnsi="FrankRuehl" w:cs="FrankRuehl"/>
          <w:rtl/>
        </w:rPr>
        <w:t xml:space="preserve"> </w:t>
      </w:r>
      <w:r w:rsidR="00F844CC" w:rsidRPr="001A0B66">
        <w:rPr>
          <w:rFonts w:ascii="FrankRuehl" w:hAnsi="FrankRuehl" w:cs="FrankRuehl"/>
          <w:rtl/>
        </w:rPr>
        <w:t>הצעת נוסח מתוקן להצעת החוק</w:t>
      </w:r>
      <w:bookmarkEnd w:id="108"/>
      <w:bookmarkEnd w:id="109"/>
      <w:bookmarkEnd w:id="110"/>
    </w:p>
    <w:p w14:paraId="6E3BB1E1" w14:textId="77777777" w:rsidR="00146303" w:rsidRPr="001A0B66" w:rsidRDefault="00146303" w:rsidP="00F307FB">
      <w:pPr>
        <w:spacing w:line="276" w:lineRule="auto"/>
        <w:ind w:left="360"/>
        <w:rPr>
          <w:rFonts w:ascii="FrankRuehl" w:hAnsi="FrankRuehl" w:cs="FrankRuehl"/>
          <w:sz w:val="28"/>
          <w:szCs w:val="28"/>
          <w:rtl/>
        </w:rPr>
      </w:pPr>
    </w:p>
    <w:p w14:paraId="0323FF1A" w14:textId="77777777" w:rsidR="00146303" w:rsidRPr="001A0B66" w:rsidRDefault="005D131E" w:rsidP="00F307FB">
      <w:pPr>
        <w:pStyle w:val="a1"/>
        <w:spacing w:line="276" w:lineRule="auto"/>
        <w:rPr>
          <w:rFonts w:ascii="FrankRuehl" w:hAnsi="FrankRuehl" w:cs="FrankRuehl"/>
          <w:sz w:val="28"/>
          <w:szCs w:val="28"/>
          <w:rtl/>
        </w:rPr>
      </w:pPr>
      <w:r w:rsidRPr="001A0B66">
        <w:rPr>
          <w:rFonts w:ascii="FrankRuehl" w:hAnsi="FrankRuehl" w:cs="FrankRuehl"/>
          <w:sz w:val="28"/>
          <w:szCs w:val="28"/>
          <w:rtl/>
        </w:rPr>
        <w:t xml:space="preserve">להלן </w:t>
      </w:r>
      <w:r w:rsidR="00D5482E" w:rsidRPr="001A0B66">
        <w:rPr>
          <w:rFonts w:ascii="FrankRuehl" w:hAnsi="FrankRuehl" w:cs="FrankRuehl"/>
          <w:sz w:val="28"/>
          <w:szCs w:val="28"/>
          <w:rtl/>
        </w:rPr>
        <w:t xml:space="preserve">מובא </w:t>
      </w:r>
      <w:r w:rsidRPr="001A0B66">
        <w:rPr>
          <w:rFonts w:ascii="FrankRuehl" w:hAnsi="FrankRuehl" w:cs="FrankRuehl"/>
          <w:sz w:val="28"/>
          <w:szCs w:val="28"/>
          <w:rtl/>
        </w:rPr>
        <w:t xml:space="preserve">נוסח </w:t>
      </w:r>
      <w:r w:rsidR="007727CE" w:rsidRPr="001A0B66">
        <w:rPr>
          <w:rFonts w:ascii="FrankRuehl" w:hAnsi="FrankRuehl" w:cs="FrankRuehl"/>
          <w:sz w:val="28"/>
          <w:szCs w:val="28"/>
          <w:rtl/>
        </w:rPr>
        <w:t>הצעת חוק</w:t>
      </w:r>
      <w:r w:rsidR="009C0D17" w:rsidRPr="001A0B66">
        <w:rPr>
          <w:rFonts w:ascii="FrankRuehl" w:hAnsi="FrankRuehl" w:cs="FrankRuehl"/>
          <w:sz w:val="28"/>
          <w:szCs w:val="28"/>
          <w:rtl/>
        </w:rPr>
        <w:t xml:space="preserve"> עורכי דין מיוחדים, </w:t>
      </w:r>
      <w:proofErr w:type="spellStart"/>
      <w:r w:rsidR="0060493C" w:rsidRPr="001A0B66">
        <w:rPr>
          <w:rFonts w:ascii="FrankRuehl" w:hAnsi="FrankRuehl" w:cs="FrankRuehl"/>
          <w:sz w:val="28"/>
          <w:szCs w:val="28"/>
          <w:rtl/>
        </w:rPr>
        <w:t>ה</w:t>
      </w:r>
      <w:r w:rsidR="009C0D17" w:rsidRPr="001A0B66">
        <w:rPr>
          <w:rFonts w:ascii="FrankRuehl" w:hAnsi="FrankRuehl" w:cs="FrankRuehl"/>
          <w:sz w:val="28"/>
          <w:szCs w:val="28"/>
          <w:rtl/>
        </w:rPr>
        <w:t>תשע"ז</w:t>
      </w:r>
      <w:proofErr w:type="spellEnd"/>
      <w:r w:rsidR="00D5482E" w:rsidRPr="001A0B66">
        <w:rPr>
          <w:rFonts w:ascii="FrankRuehl" w:hAnsi="FrankRuehl" w:cs="FrankRuehl"/>
          <w:sz w:val="28"/>
          <w:szCs w:val="28"/>
          <w:rtl/>
        </w:rPr>
        <w:t>–</w:t>
      </w:r>
      <w:r w:rsidR="009C0D17" w:rsidRPr="001A0B66">
        <w:rPr>
          <w:rFonts w:ascii="FrankRuehl" w:hAnsi="FrankRuehl" w:cs="FrankRuehl"/>
          <w:sz w:val="28"/>
          <w:szCs w:val="28"/>
          <w:rtl/>
        </w:rPr>
        <w:t xml:space="preserve">2017, </w:t>
      </w:r>
      <w:r w:rsidR="00D5482E" w:rsidRPr="001A0B66">
        <w:rPr>
          <w:rFonts w:ascii="FrankRuehl" w:hAnsi="FrankRuehl" w:cs="FrankRuehl"/>
          <w:sz w:val="28"/>
          <w:szCs w:val="28"/>
          <w:rtl/>
        </w:rPr>
        <w:t>ב</w:t>
      </w:r>
      <w:r w:rsidRPr="001A0B66">
        <w:rPr>
          <w:rFonts w:ascii="FrankRuehl" w:hAnsi="FrankRuehl" w:cs="FrankRuehl"/>
          <w:sz w:val="28"/>
          <w:szCs w:val="28"/>
          <w:rtl/>
        </w:rPr>
        <w:t xml:space="preserve">שינויים </w:t>
      </w:r>
      <w:r w:rsidR="00D5482E" w:rsidRPr="001A0B66">
        <w:rPr>
          <w:rFonts w:ascii="FrankRuehl" w:hAnsi="FrankRuehl" w:cs="FrankRuehl"/>
          <w:sz w:val="28"/>
          <w:szCs w:val="28"/>
          <w:rtl/>
        </w:rPr>
        <w:t xml:space="preserve">ובתוספות </w:t>
      </w:r>
      <w:r w:rsidRPr="001A0B66">
        <w:rPr>
          <w:rFonts w:ascii="FrankRuehl" w:hAnsi="FrankRuehl" w:cs="FrankRuehl"/>
          <w:sz w:val="28"/>
          <w:szCs w:val="28"/>
          <w:rtl/>
        </w:rPr>
        <w:t>שאנו מציעים</w:t>
      </w:r>
      <w:r w:rsidR="00D5482E" w:rsidRPr="001A0B66">
        <w:rPr>
          <w:rFonts w:ascii="FrankRuehl" w:hAnsi="FrankRuehl" w:cs="FrankRuehl"/>
          <w:sz w:val="28"/>
          <w:szCs w:val="28"/>
          <w:rtl/>
        </w:rPr>
        <w:t>.</w:t>
      </w:r>
    </w:p>
    <w:p w14:paraId="16FE2D63" w14:textId="77777777" w:rsidR="009C0D17" w:rsidRPr="001A0B66" w:rsidRDefault="009C0D17" w:rsidP="00F307FB">
      <w:pPr>
        <w:spacing w:line="276" w:lineRule="auto"/>
        <w:ind w:left="360"/>
        <w:rPr>
          <w:rFonts w:ascii="FrankRuehl" w:hAnsi="FrankRuehl" w:cs="FrankRuehl"/>
          <w:sz w:val="28"/>
          <w:szCs w:val="28"/>
          <w:rtl/>
        </w:rPr>
      </w:pPr>
    </w:p>
    <w:tbl>
      <w:tblPr>
        <w:bidiVisual/>
        <w:tblW w:w="8369" w:type="dxa"/>
        <w:tblInd w:w="504" w:type="dxa"/>
        <w:tblLayout w:type="fixed"/>
        <w:tblCellMar>
          <w:top w:w="57" w:type="dxa"/>
          <w:left w:w="0" w:type="dxa"/>
          <w:bottom w:w="57" w:type="dxa"/>
          <w:right w:w="0" w:type="dxa"/>
        </w:tblCellMar>
        <w:tblLook w:val="01E0" w:firstRow="1" w:lastRow="1" w:firstColumn="1" w:lastColumn="1" w:noHBand="0" w:noVBand="0"/>
      </w:tblPr>
      <w:tblGrid>
        <w:gridCol w:w="8"/>
        <w:gridCol w:w="1359"/>
        <w:gridCol w:w="624"/>
        <w:gridCol w:w="624"/>
        <w:gridCol w:w="5754"/>
      </w:tblGrid>
      <w:tr w:rsidR="00146303" w:rsidRPr="001A0B66" w14:paraId="7C0CF537" w14:textId="77777777" w:rsidTr="009240E9">
        <w:trPr>
          <w:cantSplit/>
          <w:trHeight w:val="60"/>
        </w:trPr>
        <w:tc>
          <w:tcPr>
            <w:tcW w:w="1367" w:type="dxa"/>
            <w:gridSpan w:val="2"/>
          </w:tcPr>
          <w:p w14:paraId="301FF780" w14:textId="77777777" w:rsidR="00146303"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הצעת חוק עורכי דין מיוחדים</w:t>
            </w:r>
          </w:p>
        </w:tc>
        <w:tc>
          <w:tcPr>
            <w:tcW w:w="624" w:type="dxa"/>
          </w:tcPr>
          <w:p w14:paraId="5566AD62" w14:textId="77777777" w:rsidR="00146303" w:rsidRPr="001A0B66" w:rsidRDefault="00146303" w:rsidP="00F307FB">
            <w:pPr>
              <w:spacing w:line="276" w:lineRule="auto"/>
              <w:rPr>
                <w:rFonts w:ascii="FrankRuehl" w:hAnsi="FrankRuehl" w:cs="FrankRuehl"/>
                <w:sz w:val="28"/>
                <w:szCs w:val="28"/>
              </w:rPr>
            </w:pPr>
          </w:p>
        </w:tc>
        <w:tc>
          <w:tcPr>
            <w:tcW w:w="6378" w:type="dxa"/>
            <w:gridSpan w:val="2"/>
          </w:tcPr>
          <w:p w14:paraId="5F16782B" w14:textId="77777777" w:rsidR="00146303" w:rsidRPr="001A0B66" w:rsidRDefault="00146303" w:rsidP="00F307FB">
            <w:pPr>
              <w:spacing w:line="276" w:lineRule="auto"/>
              <w:rPr>
                <w:rFonts w:ascii="FrankRuehl" w:hAnsi="FrankRuehl" w:cs="FrankRuehl"/>
                <w:sz w:val="28"/>
                <w:szCs w:val="28"/>
              </w:rPr>
            </w:pPr>
            <w:r w:rsidRPr="001A0B66">
              <w:rPr>
                <w:rFonts w:ascii="FrankRuehl" w:hAnsi="FrankRuehl" w:cs="FrankRuehl"/>
                <w:sz w:val="28"/>
                <w:szCs w:val="28"/>
                <w:rtl/>
              </w:rPr>
              <w:t>מטרתו של חוק זה היא לחזק ולי</w:t>
            </w:r>
            <w:r w:rsidR="00D5482E" w:rsidRPr="001A0B66">
              <w:rPr>
                <w:rFonts w:ascii="FrankRuehl" w:hAnsi="FrankRuehl" w:cs="FrankRuehl"/>
                <w:sz w:val="28"/>
                <w:szCs w:val="28"/>
                <w:rtl/>
              </w:rPr>
              <w:t>י</w:t>
            </w:r>
            <w:r w:rsidRPr="001A0B66">
              <w:rPr>
                <w:rFonts w:ascii="FrankRuehl" w:hAnsi="FrankRuehl" w:cs="FrankRuehl"/>
                <w:sz w:val="28"/>
                <w:szCs w:val="28"/>
                <w:rtl/>
              </w:rPr>
              <w:t>על את הליכי הביקורת השיפוטית על הליכים</w:t>
            </w:r>
            <w:r w:rsidR="009C0D17" w:rsidRPr="001A0B66">
              <w:rPr>
                <w:rFonts w:ascii="FrankRuehl" w:hAnsi="FrankRuehl" w:cs="FrankRuehl"/>
                <w:sz w:val="28"/>
                <w:szCs w:val="28"/>
                <w:rtl/>
              </w:rPr>
              <w:t xml:space="preserve"> חסויים – הליכים</w:t>
            </w:r>
            <w:r w:rsidRPr="001A0B66">
              <w:rPr>
                <w:rFonts w:ascii="FrankRuehl" w:hAnsi="FrankRuehl" w:cs="FrankRuehl"/>
                <w:sz w:val="28"/>
                <w:szCs w:val="28"/>
                <w:rtl/>
              </w:rPr>
              <w:t xml:space="preserve"> מנהליים ופליליים המבוססים על </w:t>
            </w:r>
            <w:r w:rsidR="009C0D17" w:rsidRPr="001A0B66">
              <w:rPr>
                <w:rFonts w:ascii="FrankRuehl" w:hAnsi="FrankRuehl" w:cs="FrankRuehl"/>
                <w:sz w:val="28"/>
                <w:szCs w:val="28"/>
                <w:rtl/>
              </w:rPr>
              <w:t>ראיות חסויות – ו</w:t>
            </w:r>
            <w:r w:rsidR="00701AC8" w:rsidRPr="001A0B66">
              <w:rPr>
                <w:rFonts w:ascii="FrankRuehl" w:hAnsi="FrankRuehl" w:cs="FrankRuehl"/>
                <w:sz w:val="28"/>
                <w:szCs w:val="28"/>
                <w:rtl/>
              </w:rPr>
              <w:t>זאת</w:t>
            </w:r>
            <w:r w:rsidRPr="001A0B66">
              <w:rPr>
                <w:rFonts w:ascii="FrankRuehl" w:hAnsi="FrankRuehl" w:cs="FrankRuehl"/>
                <w:sz w:val="28"/>
                <w:szCs w:val="28"/>
                <w:rtl/>
              </w:rPr>
              <w:t xml:space="preserve"> באמצעות העמדת עורך דין מיוחד שייצג</w:t>
            </w:r>
            <w:r w:rsidR="009C0D17" w:rsidRPr="001A0B66">
              <w:rPr>
                <w:rFonts w:ascii="FrankRuehl" w:hAnsi="FrankRuehl" w:cs="FrankRuehl"/>
                <w:sz w:val="28"/>
                <w:szCs w:val="28"/>
                <w:rtl/>
              </w:rPr>
              <w:t xml:space="preserve">, </w:t>
            </w:r>
            <w:r w:rsidR="00D5482E" w:rsidRPr="001A0B66">
              <w:rPr>
                <w:rFonts w:ascii="FrankRuehl" w:hAnsi="FrankRuehl" w:cs="FrankRuehl"/>
                <w:sz w:val="28"/>
                <w:szCs w:val="28"/>
                <w:rtl/>
              </w:rPr>
              <w:t>ל</w:t>
            </w:r>
            <w:r w:rsidR="009C0D17" w:rsidRPr="001A0B66">
              <w:rPr>
                <w:rFonts w:ascii="FrankRuehl" w:hAnsi="FrankRuehl" w:cs="FrankRuehl"/>
                <w:sz w:val="28"/>
                <w:szCs w:val="28"/>
                <w:rtl/>
              </w:rPr>
              <w:t>צד עורך הדין הרגיל,</w:t>
            </w:r>
            <w:r w:rsidRPr="001A0B66">
              <w:rPr>
                <w:rFonts w:ascii="FrankRuehl" w:hAnsi="FrankRuehl" w:cs="FrankRuehl"/>
                <w:sz w:val="28"/>
                <w:szCs w:val="28"/>
                <w:rtl/>
              </w:rPr>
              <w:t xml:space="preserve"> את מי שנגדו ננקט ה</w:t>
            </w:r>
            <w:r w:rsidR="009C0D17" w:rsidRPr="001A0B66">
              <w:rPr>
                <w:rFonts w:ascii="FrankRuehl" w:hAnsi="FrankRuehl" w:cs="FrankRuehl"/>
                <w:sz w:val="28"/>
                <w:szCs w:val="28"/>
                <w:rtl/>
              </w:rPr>
              <w:t>ליך שכזה</w:t>
            </w:r>
            <w:r w:rsidRPr="001A0B66">
              <w:rPr>
                <w:rFonts w:ascii="FrankRuehl" w:hAnsi="FrankRuehl" w:cs="FrankRuehl"/>
                <w:sz w:val="28"/>
                <w:szCs w:val="28"/>
                <w:rtl/>
              </w:rPr>
              <w:t xml:space="preserve">, </w:t>
            </w:r>
            <w:r w:rsidR="009C0D17" w:rsidRPr="001A0B66">
              <w:rPr>
                <w:rFonts w:ascii="FrankRuehl" w:hAnsi="FrankRuehl" w:cs="FrankRuehl"/>
                <w:sz w:val="28"/>
                <w:szCs w:val="28"/>
                <w:rtl/>
              </w:rPr>
              <w:t xml:space="preserve">והוא </w:t>
            </w:r>
            <w:r w:rsidRPr="001A0B66">
              <w:rPr>
                <w:rFonts w:ascii="FrankRuehl" w:hAnsi="FrankRuehl" w:cs="FrankRuehl"/>
                <w:sz w:val="28"/>
                <w:szCs w:val="28"/>
                <w:rtl/>
              </w:rPr>
              <w:t xml:space="preserve">יפעל </w:t>
            </w:r>
            <w:r w:rsidR="00D5482E" w:rsidRPr="001A0B66">
              <w:rPr>
                <w:rFonts w:ascii="FrankRuehl" w:hAnsi="FrankRuehl" w:cs="FrankRuehl"/>
                <w:sz w:val="28"/>
                <w:szCs w:val="28"/>
                <w:rtl/>
              </w:rPr>
              <w:t>כדי</w:t>
            </w:r>
            <w:r w:rsidRPr="001A0B66">
              <w:rPr>
                <w:rFonts w:ascii="FrankRuehl" w:hAnsi="FrankRuehl" w:cs="FrankRuehl"/>
                <w:sz w:val="28"/>
                <w:szCs w:val="28"/>
                <w:rtl/>
              </w:rPr>
              <w:t xml:space="preserve"> להגן בפני בית המשפט על עניינו של האדם; באופן זה תצומצם הפגיעה בזכויות האדם הנגרמת בשל </w:t>
            </w:r>
            <w:r w:rsidR="009C0D17" w:rsidRPr="001A0B66">
              <w:rPr>
                <w:rFonts w:ascii="FrankRuehl" w:hAnsi="FrankRuehl" w:cs="FrankRuehl"/>
                <w:sz w:val="28"/>
                <w:szCs w:val="28"/>
                <w:rtl/>
              </w:rPr>
              <w:t>ההליך החסוי</w:t>
            </w:r>
            <w:r w:rsidRPr="001A0B66">
              <w:rPr>
                <w:rFonts w:ascii="FrankRuehl" w:hAnsi="FrankRuehl" w:cs="FrankRuehl"/>
                <w:sz w:val="28"/>
                <w:szCs w:val="28"/>
                <w:rtl/>
              </w:rPr>
              <w:t>.</w:t>
            </w:r>
          </w:p>
        </w:tc>
      </w:tr>
      <w:tr w:rsidR="00146303" w:rsidRPr="001A0B66" w14:paraId="614C4860" w14:textId="77777777" w:rsidTr="009240E9">
        <w:trPr>
          <w:cantSplit/>
          <w:trHeight w:val="60"/>
        </w:trPr>
        <w:tc>
          <w:tcPr>
            <w:tcW w:w="1367" w:type="dxa"/>
            <w:gridSpan w:val="2"/>
          </w:tcPr>
          <w:p w14:paraId="182838E4" w14:textId="77777777" w:rsidR="00146303"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הגדרות</w:t>
            </w:r>
          </w:p>
        </w:tc>
        <w:tc>
          <w:tcPr>
            <w:tcW w:w="624" w:type="dxa"/>
          </w:tcPr>
          <w:p w14:paraId="5A1B4AAF" w14:textId="77777777" w:rsidR="00146303" w:rsidRPr="001A0B66" w:rsidRDefault="00146303" w:rsidP="00F307FB">
            <w:pPr>
              <w:spacing w:line="276" w:lineRule="auto"/>
              <w:rPr>
                <w:rFonts w:ascii="FrankRuehl" w:hAnsi="FrankRuehl" w:cs="FrankRuehl"/>
                <w:sz w:val="28"/>
                <w:szCs w:val="28"/>
              </w:rPr>
            </w:pPr>
            <w:r w:rsidRPr="001A0B66">
              <w:rPr>
                <w:rFonts w:ascii="FrankRuehl" w:hAnsi="FrankRuehl" w:cs="FrankRuehl"/>
                <w:sz w:val="28"/>
                <w:szCs w:val="28"/>
                <w:rtl/>
              </w:rPr>
              <w:t>2.</w:t>
            </w:r>
          </w:p>
        </w:tc>
        <w:tc>
          <w:tcPr>
            <w:tcW w:w="6378" w:type="dxa"/>
            <w:gridSpan w:val="2"/>
          </w:tcPr>
          <w:p w14:paraId="640CFCD4" w14:textId="77777777" w:rsidR="00146303" w:rsidRPr="001A0B66" w:rsidRDefault="00146303"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בחוק זה – </w:t>
            </w:r>
          </w:p>
        </w:tc>
      </w:tr>
      <w:tr w:rsidR="00146303" w:rsidRPr="001A0B66" w14:paraId="392CE007" w14:textId="77777777" w:rsidTr="009240E9">
        <w:trPr>
          <w:cantSplit/>
          <w:trHeight w:val="60"/>
        </w:trPr>
        <w:tc>
          <w:tcPr>
            <w:tcW w:w="1367" w:type="dxa"/>
            <w:gridSpan w:val="2"/>
          </w:tcPr>
          <w:p w14:paraId="46817247"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6F09DABE"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681999C4" w14:textId="77777777" w:rsidR="005F70C5"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"הליך חסוי" </w:t>
            </w:r>
            <w:r w:rsidR="00D66CBB" w:rsidRPr="001A0B66">
              <w:rPr>
                <w:rFonts w:ascii="FrankRuehl" w:hAnsi="FrankRuehl" w:cs="FrankRuehl"/>
                <w:sz w:val="28"/>
                <w:szCs w:val="28"/>
                <w:rtl/>
              </w:rPr>
              <w:t>– הליכים שיפוטיים לפי</w:t>
            </w:r>
            <w:r w:rsidRPr="001A0B66">
              <w:rPr>
                <w:rFonts w:ascii="FrankRuehl" w:hAnsi="FrankRuehl" w:cs="FrankRuehl"/>
                <w:sz w:val="28"/>
                <w:szCs w:val="28"/>
                <w:rtl/>
              </w:rPr>
              <w:t>:</w:t>
            </w:r>
          </w:p>
        </w:tc>
      </w:tr>
      <w:tr w:rsidR="00146303" w:rsidRPr="001A0B66" w14:paraId="697F82BB" w14:textId="77777777" w:rsidTr="009240E9">
        <w:trPr>
          <w:cantSplit/>
          <w:trHeight w:val="60"/>
        </w:trPr>
        <w:tc>
          <w:tcPr>
            <w:tcW w:w="1367" w:type="dxa"/>
            <w:gridSpan w:val="2"/>
          </w:tcPr>
          <w:p w14:paraId="099B2EA2"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2158B846" w14:textId="77777777" w:rsidR="00146303" w:rsidRPr="001A0B66" w:rsidRDefault="00146303" w:rsidP="00F307FB">
            <w:pPr>
              <w:spacing w:line="276" w:lineRule="auto"/>
              <w:rPr>
                <w:rFonts w:ascii="FrankRuehl" w:hAnsi="FrankRuehl" w:cs="FrankRuehl"/>
                <w:sz w:val="28"/>
                <w:szCs w:val="28"/>
              </w:rPr>
            </w:pPr>
          </w:p>
        </w:tc>
        <w:tc>
          <w:tcPr>
            <w:tcW w:w="624" w:type="dxa"/>
          </w:tcPr>
          <w:p w14:paraId="63A20A7A" w14:textId="77777777" w:rsidR="00146303" w:rsidRPr="001A0B66" w:rsidRDefault="00146303" w:rsidP="00F307FB">
            <w:pPr>
              <w:spacing w:line="276" w:lineRule="auto"/>
              <w:rPr>
                <w:rFonts w:ascii="FrankRuehl" w:hAnsi="FrankRuehl" w:cs="FrankRuehl"/>
                <w:sz w:val="28"/>
                <w:szCs w:val="28"/>
              </w:rPr>
            </w:pPr>
          </w:p>
        </w:tc>
        <w:tc>
          <w:tcPr>
            <w:tcW w:w="5754" w:type="dxa"/>
          </w:tcPr>
          <w:p w14:paraId="5A78DB3C" w14:textId="77777777" w:rsidR="00146303" w:rsidRPr="001A0B66" w:rsidRDefault="00146303"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סעיפים 4, 5 ו-7 לחוק סמכויות לשעת חירום (מעצרים), </w:t>
            </w:r>
            <w:proofErr w:type="spellStart"/>
            <w:r w:rsidRPr="001A0B66">
              <w:rPr>
                <w:rFonts w:ascii="FrankRuehl" w:hAnsi="FrankRuehl" w:cs="FrankRuehl"/>
                <w:sz w:val="28"/>
                <w:szCs w:val="28"/>
                <w:rtl/>
              </w:rPr>
              <w:t>התשל"ט</w:t>
            </w:r>
            <w:proofErr w:type="spellEnd"/>
            <w:r w:rsidRPr="001A0B66">
              <w:rPr>
                <w:rFonts w:ascii="FrankRuehl" w:hAnsi="FrankRuehl" w:cs="FrankRuehl"/>
                <w:sz w:val="28"/>
                <w:szCs w:val="28"/>
                <w:rtl/>
              </w:rPr>
              <w:t>–1979;</w:t>
            </w:r>
          </w:p>
        </w:tc>
      </w:tr>
      <w:tr w:rsidR="00146303" w:rsidRPr="001A0B66" w14:paraId="4B43AFF9" w14:textId="77777777" w:rsidTr="009240E9">
        <w:trPr>
          <w:cantSplit/>
          <w:trHeight w:val="60"/>
        </w:trPr>
        <w:tc>
          <w:tcPr>
            <w:tcW w:w="1367" w:type="dxa"/>
            <w:gridSpan w:val="2"/>
          </w:tcPr>
          <w:p w14:paraId="5BC73C63"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056496DB" w14:textId="77777777" w:rsidR="00146303" w:rsidRPr="001A0B66" w:rsidRDefault="00146303" w:rsidP="00F307FB">
            <w:pPr>
              <w:spacing w:line="276" w:lineRule="auto"/>
              <w:rPr>
                <w:rFonts w:ascii="FrankRuehl" w:hAnsi="FrankRuehl" w:cs="FrankRuehl"/>
                <w:sz w:val="28"/>
                <w:szCs w:val="28"/>
              </w:rPr>
            </w:pPr>
          </w:p>
        </w:tc>
        <w:tc>
          <w:tcPr>
            <w:tcW w:w="624" w:type="dxa"/>
          </w:tcPr>
          <w:p w14:paraId="7EFC10D1" w14:textId="77777777" w:rsidR="00146303" w:rsidRPr="001A0B66" w:rsidRDefault="00146303" w:rsidP="00F307FB">
            <w:pPr>
              <w:spacing w:line="276" w:lineRule="auto"/>
              <w:rPr>
                <w:rFonts w:ascii="FrankRuehl" w:hAnsi="FrankRuehl" w:cs="FrankRuehl"/>
                <w:sz w:val="28"/>
                <w:szCs w:val="28"/>
              </w:rPr>
            </w:pPr>
          </w:p>
        </w:tc>
        <w:tc>
          <w:tcPr>
            <w:tcW w:w="5754" w:type="dxa"/>
          </w:tcPr>
          <w:p w14:paraId="271E2A26"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סעיפים 108, 109, 110 לתקנות ההגנה (שעת חירום), 1945;</w:t>
            </w:r>
          </w:p>
        </w:tc>
      </w:tr>
      <w:tr w:rsidR="00146303" w:rsidRPr="001A0B66" w14:paraId="71636DB2" w14:textId="77777777" w:rsidTr="009240E9">
        <w:trPr>
          <w:cantSplit/>
          <w:trHeight w:val="60"/>
        </w:trPr>
        <w:tc>
          <w:tcPr>
            <w:tcW w:w="1367" w:type="dxa"/>
            <w:gridSpan w:val="2"/>
          </w:tcPr>
          <w:p w14:paraId="7EC2B7D3"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0F1307BA" w14:textId="77777777" w:rsidR="00146303" w:rsidRPr="001A0B66" w:rsidRDefault="00146303" w:rsidP="00F307FB">
            <w:pPr>
              <w:spacing w:line="276" w:lineRule="auto"/>
              <w:rPr>
                <w:rFonts w:ascii="FrankRuehl" w:hAnsi="FrankRuehl" w:cs="FrankRuehl"/>
                <w:sz w:val="28"/>
                <w:szCs w:val="28"/>
              </w:rPr>
            </w:pPr>
          </w:p>
        </w:tc>
        <w:tc>
          <w:tcPr>
            <w:tcW w:w="624" w:type="dxa"/>
          </w:tcPr>
          <w:p w14:paraId="681C179A" w14:textId="77777777" w:rsidR="00146303" w:rsidRPr="001A0B66" w:rsidRDefault="00146303" w:rsidP="00F307FB">
            <w:pPr>
              <w:spacing w:line="276" w:lineRule="auto"/>
              <w:rPr>
                <w:rFonts w:ascii="FrankRuehl" w:hAnsi="FrankRuehl" w:cs="FrankRuehl"/>
                <w:sz w:val="28"/>
                <w:szCs w:val="28"/>
              </w:rPr>
            </w:pPr>
          </w:p>
        </w:tc>
        <w:tc>
          <w:tcPr>
            <w:tcW w:w="5754" w:type="dxa"/>
          </w:tcPr>
          <w:p w14:paraId="18C24F28"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סעיף 65 לחוק המאבק בטרור, </w:t>
            </w:r>
            <w:proofErr w:type="spellStart"/>
            <w:r w:rsidRPr="001A0B66">
              <w:rPr>
                <w:rFonts w:ascii="FrankRuehl" w:hAnsi="FrankRuehl" w:cs="FrankRuehl"/>
                <w:sz w:val="28"/>
                <w:szCs w:val="28"/>
                <w:rtl/>
              </w:rPr>
              <w:t>התשע"</w:t>
            </w:r>
            <w:r w:rsidR="00701AC8" w:rsidRPr="001A0B66">
              <w:rPr>
                <w:rFonts w:ascii="FrankRuehl" w:hAnsi="FrankRuehl" w:cs="FrankRuehl"/>
                <w:sz w:val="28"/>
                <w:szCs w:val="28"/>
                <w:rtl/>
              </w:rPr>
              <w:t>ו</w:t>
            </w:r>
            <w:proofErr w:type="spellEnd"/>
            <w:r w:rsidRPr="001A0B66">
              <w:rPr>
                <w:rFonts w:ascii="FrankRuehl" w:hAnsi="FrankRuehl" w:cs="FrankRuehl"/>
                <w:sz w:val="28"/>
                <w:szCs w:val="28"/>
                <w:rtl/>
              </w:rPr>
              <w:t>–201</w:t>
            </w:r>
            <w:r w:rsidR="00701AC8" w:rsidRPr="001A0B66">
              <w:rPr>
                <w:rFonts w:ascii="FrankRuehl" w:hAnsi="FrankRuehl" w:cs="FrankRuehl"/>
                <w:sz w:val="28"/>
                <w:szCs w:val="28"/>
                <w:rtl/>
              </w:rPr>
              <w:t>6</w:t>
            </w:r>
            <w:r w:rsidRPr="001A0B66">
              <w:rPr>
                <w:rFonts w:ascii="FrankRuehl" w:hAnsi="FrankRuehl" w:cs="FrankRuehl"/>
                <w:sz w:val="28"/>
                <w:szCs w:val="28"/>
                <w:rtl/>
              </w:rPr>
              <w:t>;</w:t>
            </w:r>
          </w:p>
        </w:tc>
      </w:tr>
      <w:tr w:rsidR="00146303" w:rsidRPr="001A0B66" w14:paraId="52D8E168" w14:textId="77777777" w:rsidTr="009240E9">
        <w:trPr>
          <w:cantSplit/>
          <w:trHeight w:val="60"/>
        </w:trPr>
        <w:tc>
          <w:tcPr>
            <w:tcW w:w="1367" w:type="dxa"/>
            <w:gridSpan w:val="2"/>
          </w:tcPr>
          <w:p w14:paraId="0E744066"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1CD750EA" w14:textId="77777777" w:rsidR="00146303" w:rsidRPr="001A0B66" w:rsidRDefault="00146303" w:rsidP="00F307FB">
            <w:pPr>
              <w:spacing w:line="276" w:lineRule="auto"/>
              <w:rPr>
                <w:rFonts w:ascii="FrankRuehl" w:hAnsi="FrankRuehl" w:cs="FrankRuehl"/>
                <w:sz w:val="28"/>
                <w:szCs w:val="28"/>
              </w:rPr>
            </w:pPr>
          </w:p>
        </w:tc>
        <w:tc>
          <w:tcPr>
            <w:tcW w:w="624" w:type="dxa"/>
          </w:tcPr>
          <w:p w14:paraId="0B47DBE8" w14:textId="77777777" w:rsidR="00146303" w:rsidRPr="001A0B66" w:rsidRDefault="00146303" w:rsidP="00F307FB">
            <w:pPr>
              <w:spacing w:line="276" w:lineRule="auto"/>
              <w:rPr>
                <w:rFonts w:ascii="FrankRuehl" w:hAnsi="FrankRuehl" w:cs="FrankRuehl"/>
                <w:sz w:val="28"/>
                <w:szCs w:val="28"/>
              </w:rPr>
            </w:pPr>
          </w:p>
        </w:tc>
        <w:tc>
          <w:tcPr>
            <w:tcW w:w="5754" w:type="dxa"/>
          </w:tcPr>
          <w:p w14:paraId="5ECBFDEA"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סעיף 35 לחוק סדר הדין הפלילי (סמכויות אכיפה – מעצרים), </w:t>
            </w:r>
            <w:proofErr w:type="spellStart"/>
            <w:r w:rsidRPr="001A0B66">
              <w:rPr>
                <w:rFonts w:ascii="FrankRuehl" w:hAnsi="FrankRuehl" w:cs="FrankRuehl"/>
                <w:sz w:val="28"/>
                <w:szCs w:val="28"/>
                <w:rtl/>
              </w:rPr>
              <w:t>התשנ"ו</w:t>
            </w:r>
            <w:proofErr w:type="spellEnd"/>
            <w:r w:rsidRPr="001A0B66">
              <w:rPr>
                <w:rFonts w:ascii="FrankRuehl" w:hAnsi="FrankRuehl" w:cs="FrankRuehl"/>
                <w:sz w:val="28"/>
                <w:szCs w:val="28"/>
                <w:rtl/>
              </w:rPr>
              <w:t>–1996;</w:t>
            </w:r>
          </w:p>
        </w:tc>
      </w:tr>
      <w:tr w:rsidR="00146303" w:rsidRPr="001A0B66" w14:paraId="13ED8747" w14:textId="77777777" w:rsidTr="009240E9">
        <w:trPr>
          <w:cantSplit/>
          <w:trHeight w:val="60"/>
        </w:trPr>
        <w:tc>
          <w:tcPr>
            <w:tcW w:w="1367" w:type="dxa"/>
            <w:gridSpan w:val="2"/>
          </w:tcPr>
          <w:p w14:paraId="654C4618"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3A29F577" w14:textId="77777777" w:rsidR="00146303" w:rsidRPr="001A0B66" w:rsidRDefault="00146303" w:rsidP="00F307FB">
            <w:pPr>
              <w:spacing w:line="276" w:lineRule="auto"/>
              <w:rPr>
                <w:rFonts w:ascii="FrankRuehl" w:hAnsi="FrankRuehl" w:cs="FrankRuehl"/>
                <w:sz w:val="28"/>
                <w:szCs w:val="28"/>
              </w:rPr>
            </w:pPr>
          </w:p>
        </w:tc>
        <w:tc>
          <w:tcPr>
            <w:tcW w:w="624" w:type="dxa"/>
          </w:tcPr>
          <w:p w14:paraId="76BA9B89" w14:textId="77777777" w:rsidR="00146303" w:rsidRPr="001A0B66" w:rsidRDefault="00146303" w:rsidP="00F307FB">
            <w:pPr>
              <w:spacing w:line="276" w:lineRule="auto"/>
              <w:rPr>
                <w:rFonts w:ascii="FrankRuehl" w:hAnsi="FrankRuehl" w:cs="FrankRuehl"/>
                <w:sz w:val="28"/>
                <w:szCs w:val="28"/>
              </w:rPr>
            </w:pPr>
          </w:p>
        </w:tc>
        <w:tc>
          <w:tcPr>
            <w:tcW w:w="5754" w:type="dxa"/>
          </w:tcPr>
          <w:p w14:paraId="6FEDD7A5" w14:textId="77777777" w:rsidR="000A62F4" w:rsidRPr="001A0B66" w:rsidRDefault="00146303"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סעיפים 5, ו-6 לחוק כליאתם של לוחמים בלתי חוקיים, </w:t>
            </w:r>
            <w:proofErr w:type="spellStart"/>
            <w:r w:rsidRPr="001A0B66">
              <w:rPr>
                <w:rFonts w:ascii="FrankRuehl" w:hAnsi="FrankRuehl" w:cs="FrankRuehl"/>
                <w:sz w:val="28"/>
                <w:szCs w:val="28"/>
                <w:rtl/>
              </w:rPr>
              <w:t>התשס"ב</w:t>
            </w:r>
            <w:proofErr w:type="spellEnd"/>
            <w:r w:rsidRPr="001A0B66">
              <w:rPr>
                <w:rFonts w:ascii="FrankRuehl" w:hAnsi="FrankRuehl" w:cs="FrankRuehl"/>
                <w:sz w:val="28"/>
                <w:szCs w:val="28"/>
                <w:rtl/>
              </w:rPr>
              <w:t>–2002;</w:t>
            </w:r>
          </w:p>
          <w:p w14:paraId="1276BEF8" w14:textId="77777777" w:rsidR="000A62F4" w:rsidRPr="001A0B66" w:rsidRDefault="000A62F4"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חוק האזרחות והכניסה לישראל (הוראת שעה), </w:t>
            </w:r>
            <w:proofErr w:type="spellStart"/>
            <w:r w:rsidRPr="001A0B66">
              <w:rPr>
                <w:rFonts w:ascii="FrankRuehl" w:hAnsi="FrankRuehl" w:cs="FrankRuehl"/>
                <w:sz w:val="28"/>
                <w:szCs w:val="28"/>
                <w:rtl/>
              </w:rPr>
              <w:t>התשס"ג</w:t>
            </w:r>
            <w:proofErr w:type="spellEnd"/>
            <w:r w:rsidR="00D5482E" w:rsidRPr="001A0B66">
              <w:rPr>
                <w:rFonts w:ascii="FrankRuehl" w:hAnsi="FrankRuehl" w:cs="FrankRuehl"/>
                <w:sz w:val="28"/>
                <w:szCs w:val="28"/>
                <w:rtl/>
              </w:rPr>
              <w:t>–</w:t>
            </w:r>
            <w:r w:rsidRPr="001A0B66">
              <w:rPr>
                <w:rFonts w:ascii="FrankRuehl" w:hAnsi="FrankRuehl" w:cs="FrankRuehl"/>
                <w:sz w:val="28"/>
                <w:szCs w:val="28"/>
                <w:rtl/>
              </w:rPr>
              <w:t>2003;</w:t>
            </w:r>
          </w:p>
          <w:p w14:paraId="7088E477" w14:textId="77777777" w:rsidR="000A62F4" w:rsidRPr="001A0B66" w:rsidRDefault="000A62F4"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סעיף 11(ה) לחוק האזרחות, </w:t>
            </w:r>
            <w:proofErr w:type="spellStart"/>
            <w:r w:rsidR="0060493C" w:rsidRPr="001A0B66">
              <w:rPr>
                <w:rFonts w:ascii="FrankRuehl" w:hAnsi="FrankRuehl" w:cs="FrankRuehl"/>
                <w:sz w:val="28"/>
                <w:szCs w:val="28"/>
                <w:rtl/>
              </w:rPr>
              <w:t>ה</w:t>
            </w:r>
            <w:r w:rsidRPr="001A0B66">
              <w:rPr>
                <w:rFonts w:ascii="FrankRuehl" w:hAnsi="FrankRuehl" w:cs="FrankRuehl"/>
                <w:sz w:val="28"/>
                <w:szCs w:val="28"/>
                <w:rtl/>
              </w:rPr>
              <w:t>תשי"ב</w:t>
            </w:r>
            <w:proofErr w:type="spellEnd"/>
            <w:r w:rsidR="00D5482E" w:rsidRPr="001A0B66">
              <w:rPr>
                <w:rFonts w:ascii="FrankRuehl" w:hAnsi="FrankRuehl" w:cs="FrankRuehl"/>
                <w:sz w:val="28"/>
                <w:szCs w:val="28"/>
                <w:rtl/>
              </w:rPr>
              <w:t>–</w:t>
            </w:r>
            <w:r w:rsidRPr="001A0B66">
              <w:rPr>
                <w:rFonts w:ascii="FrankRuehl" w:hAnsi="FrankRuehl" w:cs="FrankRuehl"/>
                <w:sz w:val="28"/>
                <w:szCs w:val="28"/>
                <w:rtl/>
              </w:rPr>
              <w:t>1952</w:t>
            </w:r>
            <w:r w:rsidR="009C0D17" w:rsidRPr="001A0B66">
              <w:rPr>
                <w:rFonts w:ascii="FrankRuehl" w:hAnsi="FrankRuehl" w:cs="FrankRuehl"/>
                <w:sz w:val="28"/>
                <w:szCs w:val="28"/>
                <w:rtl/>
              </w:rPr>
              <w:t>;</w:t>
            </w:r>
          </w:p>
          <w:p w14:paraId="4EB1A829" w14:textId="77777777" w:rsidR="000A62F4" w:rsidRPr="001A0B66" w:rsidRDefault="000A62F4"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סימן א' לפרק השלישי לחוק הכניסה לישראל, </w:t>
            </w:r>
            <w:proofErr w:type="spellStart"/>
            <w:r w:rsidR="0060493C" w:rsidRPr="001A0B66">
              <w:rPr>
                <w:rFonts w:ascii="FrankRuehl" w:hAnsi="FrankRuehl" w:cs="FrankRuehl"/>
                <w:sz w:val="28"/>
                <w:szCs w:val="28"/>
                <w:rtl/>
              </w:rPr>
              <w:t>ה</w:t>
            </w:r>
            <w:r w:rsidRPr="001A0B66">
              <w:rPr>
                <w:rFonts w:ascii="FrankRuehl" w:hAnsi="FrankRuehl" w:cs="FrankRuehl"/>
                <w:sz w:val="28"/>
                <w:szCs w:val="28"/>
                <w:rtl/>
              </w:rPr>
              <w:t>תשי"ב</w:t>
            </w:r>
            <w:proofErr w:type="spellEnd"/>
            <w:r w:rsidR="00D5482E" w:rsidRPr="001A0B66">
              <w:rPr>
                <w:rFonts w:ascii="FrankRuehl" w:hAnsi="FrankRuehl" w:cs="FrankRuehl"/>
                <w:sz w:val="28"/>
                <w:szCs w:val="28"/>
                <w:rtl/>
              </w:rPr>
              <w:t>–</w:t>
            </w:r>
            <w:r w:rsidRPr="001A0B66">
              <w:rPr>
                <w:rFonts w:ascii="FrankRuehl" w:hAnsi="FrankRuehl" w:cs="FrankRuehl"/>
                <w:sz w:val="28"/>
                <w:szCs w:val="28"/>
                <w:rtl/>
              </w:rPr>
              <w:t>1952</w:t>
            </w:r>
            <w:r w:rsidR="009C0D17" w:rsidRPr="001A0B66">
              <w:rPr>
                <w:rFonts w:ascii="FrankRuehl" w:hAnsi="FrankRuehl" w:cs="FrankRuehl"/>
                <w:sz w:val="28"/>
                <w:szCs w:val="28"/>
                <w:rtl/>
              </w:rPr>
              <w:t>;</w:t>
            </w:r>
            <w:r w:rsidRPr="001A0B66">
              <w:rPr>
                <w:rFonts w:ascii="FrankRuehl" w:hAnsi="FrankRuehl" w:cs="FrankRuehl"/>
                <w:sz w:val="28"/>
                <w:szCs w:val="28"/>
                <w:rtl/>
              </w:rPr>
              <w:t xml:space="preserve"> </w:t>
            </w:r>
          </w:p>
          <w:p w14:paraId="108CFB59" w14:textId="77777777" w:rsidR="000A62F4" w:rsidRPr="001A0B66" w:rsidRDefault="000A62F4" w:rsidP="00F307FB">
            <w:pPr>
              <w:spacing w:line="276" w:lineRule="auto"/>
              <w:rPr>
                <w:rFonts w:ascii="FrankRuehl" w:hAnsi="FrankRuehl" w:cs="FrankRuehl"/>
                <w:sz w:val="28"/>
                <w:szCs w:val="28"/>
              </w:rPr>
            </w:pPr>
            <w:r w:rsidRPr="001A0B66">
              <w:rPr>
                <w:rFonts w:ascii="FrankRuehl" w:hAnsi="FrankRuehl" w:cs="FrankRuehl"/>
                <w:sz w:val="28"/>
                <w:szCs w:val="28"/>
                <w:rtl/>
              </w:rPr>
              <w:t xml:space="preserve">הליכים הנוגעים לטיפול בתושבי </w:t>
            </w:r>
            <w:r w:rsidR="00256236" w:rsidRPr="001A0B66">
              <w:rPr>
                <w:rFonts w:ascii="FrankRuehl" w:hAnsi="FrankRuehl" w:cs="FrankRuehl"/>
                <w:sz w:val="28"/>
                <w:szCs w:val="28"/>
                <w:rtl/>
              </w:rPr>
              <w:t xml:space="preserve">הגדה המערבית </w:t>
            </w:r>
            <w:r w:rsidRPr="001A0B66">
              <w:rPr>
                <w:rFonts w:ascii="FrankRuehl" w:hAnsi="FrankRuehl" w:cs="FrankRuehl"/>
                <w:sz w:val="28"/>
                <w:szCs w:val="28"/>
                <w:rtl/>
              </w:rPr>
              <w:t>ורצועת</w:t>
            </w:r>
            <w:r w:rsidR="00701AC8" w:rsidRPr="001A0B66">
              <w:rPr>
                <w:rFonts w:ascii="FrankRuehl" w:hAnsi="FrankRuehl" w:cs="FrankRuehl"/>
                <w:sz w:val="28"/>
                <w:szCs w:val="28"/>
                <w:rtl/>
              </w:rPr>
              <w:t xml:space="preserve"> עזה</w:t>
            </w:r>
            <w:r w:rsidRPr="001A0B66">
              <w:rPr>
                <w:rFonts w:ascii="FrankRuehl" w:hAnsi="FrankRuehl" w:cs="FrankRuehl"/>
                <w:sz w:val="28"/>
                <w:szCs w:val="28"/>
                <w:rtl/>
              </w:rPr>
              <w:t xml:space="preserve"> הטוענים שנשקפת סכנה לחייהם </w:t>
            </w:r>
            <w:r w:rsidR="009C0D17" w:rsidRPr="001A0B66">
              <w:rPr>
                <w:rFonts w:ascii="FrankRuehl" w:hAnsi="FrankRuehl" w:cs="FrankRuehl"/>
                <w:sz w:val="28"/>
                <w:szCs w:val="28"/>
                <w:rtl/>
              </w:rPr>
              <w:t xml:space="preserve">או לחיי קרוביהם </w:t>
            </w:r>
            <w:r w:rsidRPr="001A0B66">
              <w:rPr>
                <w:rFonts w:ascii="FrankRuehl" w:hAnsi="FrankRuehl" w:cs="FrankRuehl"/>
                <w:sz w:val="28"/>
                <w:szCs w:val="28"/>
                <w:rtl/>
              </w:rPr>
              <w:t>עקב שיתוף פעולה עם גורמי ב</w:t>
            </w:r>
            <w:r w:rsidR="001132E6" w:rsidRPr="001A0B66">
              <w:rPr>
                <w:rFonts w:ascii="FrankRuehl" w:hAnsi="FrankRuehl" w:cs="FrankRuehl"/>
                <w:sz w:val="28"/>
                <w:szCs w:val="28"/>
                <w:rtl/>
              </w:rPr>
              <w:t>י</w:t>
            </w:r>
            <w:r w:rsidRPr="001A0B66">
              <w:rPr>
                <w:rFonts w:ascii="FrankRuehl" w:hAnsi="FrankRuehl" w:cs="FrankRuehl"/>
                <w:sz w:val="28"/>
                <w:szCs w:val="28"/>
                <w:rtl/>
              </w:rPr>
              <w:t>טחון ישראליים</w:t>
            </w:r>
            <w:r w:rsidR="009A6851" w:rsidRPr="001A0B66">
              <w:rPr>
                <w:rFonts w:ascii="FrankRuehl" w:hAnsi="FrankRuehl" w:cs="FrankRuehl"/>
                <w:sz w:val="28"/>
                <w:szCs w:val="28"/>
                <w:rtl/>
              </w:rPr>
              <w:t xml:space="preserve"> </w:t>
            </w:r>
            <w:r w:rsidRPr="001A0B66">
              <w:rPr>
                <w:rFonts w:ascii="FrankRuehl" w:hAnsi="FrankRuehl" w:cs="FrankRuehl"/>
                <w:sz w:val="28"/>
                <w:szCs w:val="28"/>
                <w:rtl/>
              </w:rPr>
              <w:t xml:space="preserve">או </w:t>
            </w:r>
            <w:r w:rsidR="009C0D17" w:rsidRPr="001A0B66">
              <w:rPr>
                <w:rFonts w:ascii="FrankRuehl" w:hAnsi="FrankRuehl" w:cs="FrankRuehl"/>
                <w:sz w:val="28"/>
                <w:szCs w:val="28"/>
                <w:rtl/>
              </w:rPr>
              <w:t xml:space="preserve">עקב </w:t>
            </w:r>
            <w:r w:rsidRPr="001A0B66">
              <w:rPr>
                <w:rFonts w:ascii="FrankRuehl" w:hAnsi="FrankRuehl" w:cs="FrankRuehl"/>
                <w:sz w:val="28"/>
                <w:szCs w:val="28"/>
                <w:rtl/>
              </w:rPr>
              <w:t>חשד שכזה</w:t>
            </w:r>
            <w:r w:rsidR="009C0D17" w:rsidRPr="001A0B66">
              <w:rPr>
                <w:rFonts w:ascii="FrankRuehl" w:hAnsi="FrankRuehl" w:cs="FrankRuehl"/>
                <w:sz w:val="28"/>
                <w:szCs w:val="28"/>
                <w:rtl/>
              </w:rPr>
              <w:t>;</w:t>
            </w:r>
            <w:r w:rsidRPr="001A0B66">
              <w:rPr>
                <w:rFonts w:ascii="FrankRuehl" w:hAnsi="FrankRuehl" w:cs="FrankRuehl"/>
                <w:sz w:val="28"/>
                <w:szCs w:val="28"/>
                <w:rtl/>
              </w:rPr>
              <w:t xml:space="preserve"> </w:t>
            </w:r>
          </w:p>
          <w:p w14:paraId="0B933FA1" w14:textId="77777777" w:rsidR="000A62F4" w:rsidRPr="001A0B66" w:rsidRDefault="000A62F4" w:rsidP="00F307FB">
            <w:pPr>
              <w:spacing w:line="276" w:lineRule="auto"/>
              <w:rPr>
                <w:rFonts w:ascii="FrankRuehl" w:hAnsi="FrankRuehl" w:cs="FrankRuehl"/>
                <w:sz w:val="28"/>
                <w:szCs w:val="28"/>
              </w:rPr>
            </w:pPr>
            <w:r w:rsidRPr="001A0B66">
              <w:rPr>
                <w:rFonts w:ascii="FrankRuehl" w:hAnsi="FrankRuehl" w:cs="FrankRuehl"/>
                <w:sz w:val="28"/>
                <w:szCs w:val="28"/>
                <w:rtl/>
              </w:rPr>
              <w:t>הליכים שעניינם אסירים ותנאי מאסרם והליכי שחרור על תנאי</w:t>
            </w:r>
            <w:r w:rsidR="00F55BA5" w:rsidRPr="001A0B66">
              <w:rPr>
                <w:rFonts w:ascii="FrankRuehl" w:hAnsi="FrankRuehl" w:cs="FrankRuehl"/>
                <w:sz w:val="28"/>
                <w:szCs w:val="28"/>
                <w:rtl/>
              </w:rPr>
              <w:t xml:space="preserve"> לפי חוק שחרור על תנאי ממאסר</w:t>
            </w:r>
            <w:r w:rsidR="001132E6" w:rsidRPr="001A0B66">
              <w:rPr>
                <w:rFonts w:ascii="FrankRuehl" w:hAnsi="FrankRuehl" w:cs="FrankRuehl"/>
                <w:sz w:val="28"/>
                <w:szCs w:val="28"/>
                <w:rtl/>
              </w:rPr>
              <w:t>,</w:t>
            </w:r>
            <w:r w:rsidR="00F55BA5" w:rsidRPr="001A0B66">
              <w:rPr>
                <w:rFonts w:ascii="FrankRuehl" w:hAnsi="FrankRuehl" w:cs="FrankRuehl"/>
                <w:sz w:val="28"/>
                <w:szCs w:val="28"/>
                <w:rtl/>
              </w:rPr>
              <w:t xml:space="preserve"> </w:t>
            </w:r>
            <w:proofErr w:type="spellStart"/>
            <w:r w:rsidR="0060493C" w:rsidRPr="001A0B66">
              <w:rPr>
                <w:rFonts w:ascii="FrankRuehl" w:hAnsi="FrankRuehl" w:cs="FrankRuehl"/>
                <w:sz w:val="28"/>
                <w:szCs w:val="28"/>
                <w:rtl/>
              </w:rPr>
              <w:t>ה</w:t>
            </w:r>
            <w:r w:rsidR="00F55BA5" w:rsidRPr="001A0B66">
              <w:rPr>
                <w:rFonts w:ascii="FrankRuehl" w:hAnsi="FrankRuehl" w:cs="FrankRuehl"/>
                <w:sz w:val="28"/>
                <w:szCs w:val="28"/>
                <w:rtl/>
              </w:rPr>
              <w:t>תשס"א</w:t>
            </w:r>
            <w:proofErr w:type="spellEnd"/>
            <w:r w:rsidR="001132E6" w:rsidRPr="001A0B66">
              <w:rPr>
                <w:rFonts w:ascii="FrankRuehl" w:hAnsi="FrankRuehl" w:cs="FrankRuehl"/>
                <w:sz w:val="28"/>
                <w:szCs w:val="28"/>
                <w:rtl/>
              </w:rPr>
              <w:t>–</w:t>
            </w:r>
            <w:r w:rsidR="00F55BA5" w:rsidRPr="001A0B66">
              <w:rPr>
                <w:rFonts w:ascii="FrankRuehl" w:hAnsi="FrankRuehl" w:cs="FrankRuehl"/>
                <w:sz w:val="28"/>
                <w:szCs w:val="28"/>
                <w:rtl/>
              </w:rPr>
              <w:t>2001</w:t>
            </w:r>
            <w:r w:rsidR="009C0D17" w:rsidRPr="001A0B66">
              <w:rPr>
                <w:rFonts w:ascii="FrankRuehl" w:hAnsi="FrankRuehl" w:cs="FrankRuehl"/>
                <w:sz w:val="28"/>
                <w:szCs w:val="28"/>
                <w:rtl/>
              </w:rPr>
              <w:t>;</w:t>
            </w:r>
          </w:p>
          <w:p w14:paraId="2AFCC31B" w14:textId="77777777" w:rsidR="00FE3066" w:rsidRPr="001A0B66" w:rsidRDefault="000A62F4" w:rsidP="00F307FB">
            <w:pPr>
              <w:spacing w:line="276" w:lineRule="auto"/>
              <w:rPr>
                <w:rFonts w:ascii="FrankRuehl" w:hAnsi="FrankRuehl" w:cs="FrankRuehl"/>
                <w:sz w:val="28"/>
                <w:szCs w:val="28"/>
              </w:rPr>
            </w:pPr>
            <w:r w:rsidRPr="001A0B66">
              <w:rPr>
                <w:rFonts w:ascii="FrankRuehl" w:hAnsi="FrankRuehl" w:cs="FrankRuehl"/>
                <w:sz w:val="28"/>
                <w:szCs w:val="28"/>
                <w:rtl/>
              </w:rPr>
              <w:t>הליכי קבלת החלטות בעניין מעקב ופיקוח על עברייני מין משוחררים</w:t>
            </w:r>
            <w:r w:rsidR="00F55BA5" w:rsidRPr="001A0B66">
              <w:rPr>
                <w:rFonts w:ascii="FrankRuehl" w:hAnsi="FrankRuehl" w:cs="FrankRuehl"/>
                <w:sz w:val="28"/>
                <w:szCs w:val="28"/>
                <w:rtl/>
              </w:rPr>
              <w:t xml:space="preserve"> לפי </w:t>
            </w:r>
            <w:r w:rsidR="00002C5D" w:rsidRPr="001A0B66">
              <w:rPr>
                <w:rFonts w:ascii="FrankRuehl" w:hAnsi="FrankRuehl" w:cs="FrankRuehl"/>
                <w:sz w:val="28"/>
                <w:szCs w:val="28"/>
                <w:rtl/>
              </w:rPr>
              <w:t xml:space="preserve">חוק הגנה על הציבור מפני ביצוע עבירות מין, </w:t>
            </w:r>
            <w:proofErr w:type="spellStart"/>
            <w:r w:rsidR="00002C5D" w:rsidRPr="001A0B66">
              <w:rPr>
                <w:rFonts w:ascii="FrankRuehl" w:hAnsi="FrankRuehl" w:cs="FrankRuehl"/>
                <w:sz w:val="28"/>
                <w:szCs w:val="28"/>
                <w:rtl/>
              </w:rPr>
              <w:t>התשס"ו</w:t>
            </w:r>
            <w:proofErr w:type="spellEnd"/>
            <w:r w:rsidR="001132E6" w:rsidRPr="001A0B66">
              <w:rPr>
                <w:rFonts w:ascii="FrankRuehl" w:hAnsi="FrankRuehl" w:cs="FrankRuehl"/>
                <w:sz w:val="28"/>
                <w:szCs w:val="28"/>
                <w:rtl/>
              </w:rPr>
              <w:t>–</w:t>
            </w:r>
            <w:r w:rsidR="00002C5D" w:rsidRPr="001A0B66">
              <w:rPr>
                <w:rFonts w:ascii="FrankRuehl" w:hAnsi="FrankRuehl" w:cs="FrankRuehl"/>
                <w:sz w:val="28"/>
                <w:szCs w:val="28"/>
                <w:rtl/>
              </w:rPr>
              <w:t>2006</w:t>
            </w:r>
            <w:r w:rsidR="009C0D17" w:rsidRPr="001A0B66">
              <w:rPr>
                <w:rFonts w:ascii="FrankRuehl" w:hAnsi="FrankRuehl" w:cs="FrankRuehl"/>
                <w:sz w:val="28"/>
                <w:szCs w:val="28"/>
                <w:rtl/>
              </w:rPr>
              <w:t>;</w:t>
            </w:r>
          </w:p>
          <w:p w14:paraId="3DD59E74" w14:textId="77777777" w:rsidR="000A62F4" w:rsidRPr="001A0B66" w:rsidRDefault="009C0D17" w:rsidP="00F307FB">
            <w:pPr>
              <w:spacing w:line="276" w:lineRule="auto"/>
              <w:rPr>
                <w:rFonts w:ascii="FrankRuehl" w:hAnsi="FrankRuehl" w:cs="FrankRuehl"/>
                <w:sz w:val="28"/>
                <w:szCs w:val="28"/>
              </w:rPr>
            </w:pPr>
            <w:r w:rsidRPr="001A0B66">
              <w:rPr>
                <w:rFonts w:ascii="FrankRuehl" w:hAnsi="FrankRuehl" w:cs="FrankRuehl"/>
                <w:sz w:val="28"/>
                <w:szCs w:val="28"/>
                <w:rtl/>
              </w:rPr>
              <w:t>הליכים מכוח סמכויות הנתונות ב</w:t>
            </w:r>
            <w:r w:rsidR="00D66CBB" w:rsidRPr="001A0B66">
              <w:rPr>
                <w:rFonts w:ascii="FrankRuehl" w:hAnsi="FrankRuehl" w:cs="FrankRuehl"/>
                <w:sz w:val="28"/>
                <w:szCs w:val="28"/>
                <w:rtl/>
              </w:rPr>
              <w:t xml:space="preserve">סעיפים 44, 45 </w:t>
            </w:r>
            <w:r w:rsidR="00256236" w:rsidRPr="001A0B66">
              <w:rPr>
                <w:rFonts w:ascii="FrankRuehl" w:hAnsi="FrankRuehl" w:cs="FrankRuehl"/>
                <w:sz w:val="28"/>
                <w:szCs w:val="28"/>
                <w:rtl/>
              </w:rPr>
              <w:t xml:space="preserve">לפקודת הראיות [נוסח חדש], </w:t>
            </w:r>
            <w:proofErr w:type="spellStart"/>
            <w:r w:rsidR="00256236" w:rsidRPr="001A0B66">
              <w:rPr>
                <w:rFonts w:ascii="FrankRuehl" w:hAnsi="FrankRuehl" w:cs="FrankRuehl"/>
                <w:sz w:val="28"/>
                <w:szCs w:val="28"/>
                <w:rtl/>
              </w:rPr>
              <w:t>התשל"א</w:t>
            </w:r>
            <w:proofErr w:type="spellEnd"/>
            <w:r w:rsidR="00256236" w:rsidRPr="001A0B66">
              <w:rPr>
                <w:rFonts w:ascii="FrankRuehl" w:hAnsi="FrankRuehl" w:cs="FrankRuehl"/>
                <w:sz w:val="28"/>
                <w:szCs w:val="28"/>
                <w:rtl/>
              </w:rPr>
              <w:t>–1971</w:t>
            </w:r>
            <w:r w:rsidR="00D66CBB" w:rsidRPr="001A0B66">
              <w:rPr>
                <w:rFonts w:ascii="FrankRuehl" w:hAnsi="FrankRuehl" w:cs="FrankRuehl"/>
                <w:sz w:val="28"/>
                <w:szCs w:val="28"/>
                <w:rtl/>
              </w:rPr>
              <w:t>;</w:t>
            </w:r>
          </w:p>
          <w:p w14:paraId="472C9218" w14:textId="77777777" w:rsidR="006917AF" w:rsidRPr="001A0B66" w:rsidRDefault="000A62F4"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 </w:t>
            </w:r>
            <w:r w:rsidR="00D66CBB" w:rsidRPr="001A0B66">
              <w:rPr>
                <w:rFonts w:ascii="FrankRuehl" w:hAnsi="FrankRuehl" w:cs="FrankRuehl"/>
                <w:sz w:val="28"/>
                <w:szCs w:val="28"/>
                <w:rtl/>
              </w:rPr>
              <w:t>וכ</w:t>
            </w:r>
            <w:r w:rsidR="005829E0" w:rsidRPr="001A0B66">
              <w:rPr>
                <w:rFonts w:ascii="FrankRuehl" w:hAnsi="FrankRuehl" w:cs="FrankRuehl"/>
                <w:sz w:val="28"/>
                <w:szCs w:val="28"/>
                <w:rtl/>
              </w:rPr>
              <w:t>ל</w:t>
            </w:r>
            <w:r w:rsidR="00D66CBB" w:rsidRPr="001A0B66">
              <w:rPr>
                <w:rFonts w:ascii="FrankRuehl" w:hAnsi="FrankRuehl" w:cs="FrankRuehl"/>
                <w:sz w:val="28"/>
                <w:szCs w:val="28"/>
                <w:rtl/>
              </w:rPr>
              <w:t xml:space="preserve"> הליך אחר שעניינו הגבל</w:t>
            </w:r>
            <w:r w:rsidR="006F7B0C" w:rsidRPr="001A0B66">
              <w:rPr>
                <w:rFonts w:ascii="FrankRuehl" w:hAnsi="FrankRuehl" w:cs="FrankRuehl"/>
                <w:sz w:val="28"/>
                <w:szCs w:val="28"/>
                <w:rtl/>
              </w:rPr>
              <w:t>ה ממשית על</w:t>
            </w:r>
            <w:r w:rsidR="00D66CBB" w:rsidRPr="001A0B66">
              <w:rPr>
                <w:rFonts w:ascii="FrankRuehl" w:hAnsi="FrankRuehl" w:cs="FrankRuehl"/>
                <w:sz w:val="28"/>
                <w:szCs w:val="28"/>
                <w:rtl/>
              </w:rPr>
              <w:t xml:space="preserve"> זכות</w:t>
            </w:r>
            <w:r w:rsidR="006F7B0C" w:rsidRPr="001A0B66">
              <w:rPr>
                <w:rFonts w:ascii="FrankRuehl" w:hAnsi="FrankRuehl" w:cs="FrankRuehl"/>
                <w:sz w:val="28"/>
                <w:szCs w:val="28"/>
                <w:rtl/>
              </w:rPr>
              <w:t xml:space="preserve"> יסוד</w:t>
            </w:r>
            <w:r w:rsidR="00D66CBB" w:rsidRPr="001A0B66">
              <w:rPr>
                <w:rFonts w:ascii="FrankRuehl" w:hAnsi="FrankRuehl" w:cs="FrankRuehl"/>
                <w:sz w:val="28"/>
                <w:szCs w:val="28"/>
                <w:rtl/>
              </w:rPr>
              <w:t xml:space="preserve"> של אדם, </w:t>
            </w:r>
            <w:r w:rsidR="006917AF" w:rsidRPr="001A0B66">
              <w:rPr>
                <w:rFonts w:ascii="FrankRuehl" w:hAnsi="FrankRuehl" w:cs="FrankRuehl"/>
                <w:sz w:val="28"/>
                <w:szCs w:val="28"/>
                <w:rtl/>
              </w:rPr>
              <w:t xml:space="preserve">הנשען על מידע חסוי. </w:t>
            </w:r>
          </w:p>
        </w:tc>
      </w:tr>
      <w:tr w:rsidR="00146303" w:rsidRPr="001A0B66" w14:paraId="2102A92A" w14:textId="77777777" w:rsidTr="009240E9">
        <w:trPr>
          <w:cantSplit/>
          <w:trHeight w:val="60"/>
        </w:trPr>
        <w:tc>
          <w:tcPr>
            <w:tcW w:w="1367" w:type="dxa"/>
            <w:gridSpan w:val="2"/>
          </w:tcPr>
          <w:p w14:paraId="1A6B5921"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23471285" w14:textId="77777777" w:rsidR="006917AF" w:rsidRPr="001A0B66" w:rsidRDefault="006917AF" w:rsidP="00F307FB">
            <w:pPr>
              <w:spacing w:line="276" w:lineRule="auto"/>
              <w:rPr>
                <w:rFonts w:ascii="FrankRuehl" w:hAnsi="FrankRuehl" w:cs="FrankRuehl"/>
                <w:sz w:val="28"/>
                <w:szCs w:val="28"/>
                <w:rtl/>
              </w:rPr>
            </w:pPr>
          </w:p>
        </w:tc>
        <w:tc>
          <w:tcPr>
            <w:tcW w:w="6378" w:type="dxa"/>
            <w:gridSpan w:val="2"/>
          </w:tcPr>
          <w:p w14:paraId="789E2F63" w14:textId="77777777" w:rsidR="006917AF" w:rsidRPr="001A0B66" w:rsidRDefault="006917AF"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"מידע חסוי" – </w:t>
            </w:r>
            <w:r w:rsidRPr="001A0B66">
              <w:rPr>
                <w:rFonts w:ascii="FrankRuehl" w:hAnsi="FrankRuehl" w:cs="FrankRuehl"/>
                <w:sz w:val="28"/>
                <w:szCs w:val="28"/>
                <w:rtl/>
              </w:rPr>
              <w:tab/>
              <w:t>מידע הרל</w:t>
            </w:r>
            <w:r w:rsidR="001132E6" w:rsidRPr="001A0B66">
              <w:rPr>
                <w:rFonts w:ascii="FrankRuehl" w:hAnsi="FrankRuehl" w:cs="FrankRuehl"/>
                <w:sz w:val="28"/>
                <w:szCs w:val="28"/>
                <w:rtl/>
              </w:rPr>
              <w:t>וו</w:t>
            </w:r>
            <w:r w:rsidRPr="001A0B66">
              <w:rPr>
                <w:rFonts w:ascii="FrankRuehl" w:hAnsi="FrankRuehl" w:cs="FrankRuehl"/>
                <w:sz w:val="28"/>
                <w:szCs w:val="28"/>
                <w:rtl/>
              </w:rPr>
              <w:t>נטי ל</w:t>
            </w:r>
            <w:r w:rsidR="00122B0B" w:rsidRPr="001A0B66">
              <w:rPr>
                <w:rFonts w:ascii="FrankRuehl" w:hAnsi="FrankRuehl" w:cs="FrankRuehl"/>
                <w:sz w:val="28"/>
                <w:szCs w:val="28"/>
                <w:rtl/>
              </w:rPr>
              <w:t>עניינו של ה</w:t>
            </w:r>
            <w:r w:rsidRPr="001A0B66">
              <w:rPr>
                <w:rFonts w:ascii="FrankRuehl" w:hAnsi="FrankRuehl" w:cs="FrankRuehl"/>
                <w:sz w:val="28"/>
                <w:szCs w:val="28"/>
                <w:rtl/>
              </w:rPr>
              <w:t>אדם שנגדו הופעלה סמכות, והוא נחסה על ידי הרשות</w:t>
            </w:r>
            <w:r w:rsidR="00600D04" w:rsidRPr="001A0B66">
              <w:rPr>
                <w:rFonts w:ascii="FrankRuehl" w:hAnsi="FrankRuehl" w:cs="FrankRuehl"/>
                <w:sz w:val="28"/>
                <w:szCs w:val="28"/>
                <w:rtl/>
              </w:rPr>
              <w:t>;</w:t>
            </w:r>
          </w:p>
          <w:p w14:paraId="678CD635"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"השר" –</w:t>
            </w:r>
            <w:r w:rsidR="00E02661" w:rsidRPr="001A0B66">
              <w:rPr>
                <w:rFonts w:ascii="FrankRuehl" w:hAnsi="FrankRuehl" w:cs="FrankRuehl"/>
                <w:sz w:val="28"/>
                <w:szCs w:val="28"/>
                <w:rtl/>
              </w:rPr>
              <w:t xml:space="preserve"> </w:t>
            </w:r>
            <w:r w:rsidRPr="001A0B66">
              <w:rPr>
                <w:rFonts w:ascii="FrankRuehl" w:hAnsi="FrankRuehl" w:cs="FrankRuehl"/>
                <w:sz w:val="28"/>
                <w:szCs w:val="28"/>
                <w:rtl/>
              </w:rPr>
              <w:t>שר המשפטים;</w:t>
            </w:r>
          </w:p>
        </w:tc>
      </w:tr>
      <w:tr w:rsidR="00146303" w:rsidRPr="001A0B66" w14:paraId="08F0C613" w14:textId="77777777" w:rsidTr="009240E9">
        <w:trPr>
          <w:cantSplit/>
          <w:trHeight w:val="60"/>
        </w:trPr>
        <w:tc>
          <w:tcPr>
            <w:tcW w:w="1367" w:type="dxa"/>
            <w:gridSpan w:val="2"/>
          </w:tcPr>
          <w:p w14:paraId="7E207809"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3EA9F1EC"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18B2BFEE"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"הסנגור הציבורי הארצי" – כמשמעותו בחוק הסניגוריה הציבורית, </w:t>
            </w:r>
            <w:proofErr w:type="spellStart"/>
            <w:r w:rsidRPr="001A0B66">
              <w:rPr>
                <w:rFonts w:ascii="FrankRuehl" w:hAnsi="FrankRuehl" w:cs="FrankRuehl"/>
                <w:sz w:val="28"/>
                <w:szCs w:val="28"/>
                <w:rtl/>
              </w:rPr>
              <w:t>התשנ"ו</w:t>
            </w:r>
            <w:proofErr w:type="spellEnd"/>
            <w:r w:rsidRPr="001A0B66">
              <w:rPr>
                <w:rFonts w:ascii="FrankRuehl" w:hAnsi="FrankRuehl" w:cs="FrankRuehl"/>
                <w:sz w:val="28"/>
                <w:szCs w:val="28"/>
                <w:rtl/>
              </w:rPr>
              <w:t>–1995 (להלן – חוק הסנגוריה הציבורית);</w:t>
            </w:r>
          </w:p>
          <w:p w14:paraId="1C79D518" w14:textId="77777777" w:rsidR="00002C5D" w:rsidRPr="001A0B66" w:rsidRDefault="00002C5D"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"רשימת עורכי דין מיוחדים" – רשימת עורכי דין שאושרו כעורכי דין מיוחדים על ידי </w:t>
            </w:r>
            <w:r w:rsidR="00C65590" w:rsidRPr="001A0B66">
              <w:rPr>
                <w:rFonts w:ascii="FrankRuehl" w:hAnsi="FrankRuehl" w:cs="FrankRuehl"/>
                <w:sz w:val="28"/>
                <w:szCs w:val="28"/>
                <w:rtl/>
              </w:rPr>
              <w:t>הוועדה לאישור עורכי דין מיוחדים</w:t>
            </w:r>
            <w:r w:rsidR="006739E0" w:rsidRPr="001A0B66">
              <w:rPr>
                <w:rFonts w:ascii="FrankRuehl" w:hAnsi="FrankRuehl" w:cs="FrankRuehl"/>
                <w:sz w:val="28"/>
                <w:szCs w:val="28"/>
                <w:rtl/>
              </w:rPr>
              <w:t xml:space="preserve"> </w:t>
            </w:r>
            <w:r w:rsidRPr="001A0B66">
              <w:rPr>
                <w:rFonts w:ascii="FrankRuehl" w:hAnsi="FrankRuehl" w:cs="FrankRuehl"/>
                <w:sz w:val="28"/>
                <w:szCs w:val="28"/>
                <w:rtl/>
              </w:rPr>
              <w:t>לפי סעיף 6 וכפי שתעודכן מעת לעת</w:t>
            </w:r>
            <w:r w:rsidR="004D33E8" w:rsidRPr="001A0B66">
              <w:rPr>
                <w:rFonts w:ascii="FrankRuehl" w:hAnsi="FrankRuehl" w:cs="FrankRuehl"/>
                <w:sz w:val="28"/>
                <w:szCs w:val="28"/>
                <w:rtl/>
              </w:rPr>
              <w:t>;</w:t>
            </w:r>
          </w:p>
        </w:tc>
      </w:tr>
      <w:tr w:rsidR="00146303" w:rsidRPr="001A0B66" w14:paraId="09EFC569" w14:textId="77777777" w:rsidTr="009240E9">
        <w:trPr>
          <w:cantSplit/>
          <w:trHeight w:val="60"/>
        </w:trPr>
        <w:tc>
          <w:tcPr>
            <w:tcW w:w="1367" w:type="dxa"/>
            <w:gridSpan w:val="2"/>
          </w:tcPr>
          <w:p w14:paraId="17EB7DE7"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4049C6D5"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695DB0E5"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"עורך דין מיוחד" – מי ש</w:t>
            </w:r>
            <w:r w:rsidR="00002C5D" w:rsidRPr="001A0B66">
              <w:rPr>
                <w:rFonts w:ascii="FrankRuehl" w:hAnsi="FrankRuehl" w:cs="FrankRuehl"/>
                <w:sz w:val="28"/>
                <w:szCs w:val="28"/>
                <w:rtl/>
              </w:rPr>
              <w:t xml:space="preserve">אושר על ידי </w:t>
            </w:r>
            <w:r w:rsidR="00DA2D8A" w:rsidRPr="001A0B66">
              <w:rPr>
                <w:rFonts w:ascii="FrankRuehl" w:hAnsi="FrankRuehl" w:cs="FrankRuehl"/>
                <w:sz w:val="28"/>
                <w:szCs w:val="28"/>
                <w:rtl/>
              </w:rPr>
              <w:t xml:space="preserve">הוועדה לאישור עורכי דין מיוחדים </w:t>
            </w:r>
            <w:r w:rsidR="00F00EF2" w:rsidRPr="001A0B66">
              <w:rPr>
                <w:rFonts w:ascii="FrankRuehl" w:hAnsi="FrankRuehl" w:cs="FrankRuehl"/>
                <w:sz w:val="28"/>
                <w:szCs w:val="28"/>
                <w:rtl/>
              </w:rPr>
              <w:t xml:space="preserve">לפי </w:t>
            </w:r>
            <w:r w:rsidR="00DA2D8A" w:rsidRPr="001A0B66">
              <w:rPr>
                <w:rFonts w:ascii="FrankRuehl" w:hAnsi="FrankRuehl" w:cs="FrankRuehl"/>
                <w:sz w:val="28"/>
                <w:szCs w:val="28"/>
                <w:rtl/>
              </w:rPr>
              <w:t>סעיף 6 לחוק זה</w:t>
            </w:r>
            <w:r w:rsidRPr="001A0B66">
              <w:rPr>
                <w:rFonts w:ascii="FrankRuehl" w:hAnsi="FrankRuehl" w:cs="FrankRuehl"/>
                <w:sz w:val="28"/>
                <w:szCs w:val="28"/>
                <w:rtl/>
              </w:rPr>
              <w:t>;</w:t>
            </w:r>
          </w:p>
          <w:p w14:paraId="4A582106" w14:textId="77777777" w:rsidR="00002C5D" w:rsidRPr="001A0B66" w:rsidRDefault="00002C5D" w:rsidP="00F307FB">
            <w:pPr>
              <w:spacing w:line="276" w:lineRule="auto"/>
              <w:rPr>
                <w:rFonts w:ascii="FrankRuehl" w:hAnsi="FrankRuehl" w:cs="FrankRuehl"/>
                <w:sz w:val="28"/>
                <w:szCs w:val="28"/>
                <w:rtl/>
              </w:rPr>
            </w:pPr>
            <w:r w:rsidRPr="001A0B66">
              <w:rPr>
                <w:rFonts w:ascii="FrankRuehl" w:hAnsi="FrankRuehl" w:cs="FrankRuehl"/>
                <w:sz w:val="28"/>
                <w:szCs w:val="28"/>
                <w:rtl/>
              </w:rPr>
              <w:t>"עורך דין מיוחד ציבורי" – עורך דין מיוחד שמונה בהליך על ידי הסנגוריה הציבורית לפי סעיף 8(ב) או על ידי הלשכה לסיוע משפטי לפי סעיף 8(ד);</w:t>
            </w:r>
          </w:p>
          <w:p w14:paraId="31F7C93C" w14:textId="77777777" w:rsidR="00002C5D" w:rsidRPr="001A0B66" w:rsidRDefault="00002C5D" w:rsidP="00F307FB">
            <w:pPr>
              <w:spacing w:line="276" w:lineRule="auto"/>
              <w:rPr>
                <w:rFonts w:ascii="FrankRuehl" w:hAnsi="FrankRuehl" w:cs="FrankRuehl"/>
                <w:sz w:val="28"/>
                <w:szCs w:val="28"/>
                <w:rtl/>
              </w:rPr>
            </w:pPr>
            <w:r w:rsidRPr="001A0B66">
              <w:rPr>
                <w:rFonts w:ascii="FrankRuehl" w:hAnsi="FrankRuehl" w:cs="FrankRuehl"/>
                <w:sz w:val="28"/>
                <w:szCs w:val="28"/>
                <w:rtl/>
              </w:rPr>
              <w:t>"עורך דין מיוחד פרטי" – עורך דין מיוחד שמונה בהליך על ידי בית המשפט לפי סעיף 8(ג)</w:t>
            </w:r>
            <w:r w:rsidR="006917AF" w:rsidRPr="001A0B66">
              <w:rPr>
                <w:rFonts w:ascii="FrankRuehl" w:hAnsi="FrankRuehl" w:cs="FrankRuehl"/>
                <w:sz w:val="28"/>
                <w:szCs w:val="28"/>
                <w:rtl/>
              </w:rPr>
              <w:t>.</w:t>
            </w:r>
          </w:p>
        </w:tc>
      </w:tr>
      <w:tr w:rsidR="00146303" w:rsidRPr="001A0B66" w14:paraId="646DA6BA" w14:textId="77777777" w:rsidTr="009240E9">
        <w:trPr>
          <w:cantSplit/>
          <w:trHeight w:val="60"/>
        </w:trPr>
        <w:tc>
          <w:tcPr>
            <w:tcW w:w="1367" w:type="dxa"/>
            <w:gridSpan w:val="2"/>
          </w:tcPr>
          <w:p w14:paraId="4E7512FA" w14:textId="77777777" w:rsidR="00146303"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lastRenderedPageBreak/>
              <w:t>תפקיד עורך הדין</w:t>
            </w:r>
            <w:r w:rsidR="005A4A99" w:rsidRPr="001A0B66">
              <w:rPr>
                <w:rFonts w:ascii="FrankRuehl" w:hAnsi="FrankRuehl" w:cs="FrankRuehl"/>
                <w:b/>
                <w:bCs/>
                <w:sz w:val="28"/>
                <w:szCs w:val="28"/>
                <w:rtl/>
              </w:rPr>
              <w:t xml:space="preserve"> המיוחד</w:t>
            </w:r>
          </w:p>
        </w:tc>
        <w:tc>
          <w:tcPr>
            <w:tcW w:w="624" w:type="dxa"/>
          </w:tcPr>
          <w:p w14:paraId="7C65E5BF"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3.</w:t>
            </w:r>
          </w:p>
        </w:tc>
        <w:tc>
          <w:tcPr>
            <w:tcW w:w="6378" w:type="dxa"/>
            <w:gridSpan w:val="2"/>
          </w:tcPr>
          <w:p w14:paraId="6C2BC3EC" w14:textId="77777777" w:rsidR="00146303" w:rsidRPr="001A0B66" w:rsidRDefault="007E3E36"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א. </w:t>
            </w:r>
            <w:r w:rsidR="00146303" w:rsidRPr="001A0B66">
              <w:rPr>
                <w:rFonts w:ascii="FrankRuehl" w:hAnsi="FrankRuehl" w:cs="FrankRuehl"/>
                <w:sz w:val="28"/>
                <w:szCs w:val="28"/>
                <w:rtl/>
              </w:rPr>
              <w:t>עורך הדין המיוחד יבחן את</w:t>
            </w:r>
            <w:r w:rsidR="00A133A1" w:rsidRPr="001A0B66">
              <w:rPr>
                <w:rFonts w:ascii="FrankRuehl" w:hAnsi="FrankRuehl" w:cs="FrankRuehl"/>
                <w:sz w:val="28"/>
                <w:szCs w:val="28"/>
                <w:rtl/>
              </w:rPr>
              <w:t xml:space="preserve"> המידע החסוי, את</w:t>
            </w:r>
            <w:r w:rsidR="00146303" w:rsidRPr="001A0B66">
              <w:rPr>
                <w:rFonts w:ascii="FrankRuehl" w:hAnsi="FrankRuehl" w:cs="FrankRuehl"/>
                <w:sz w:val="28"/>
                <w:szCs w:val="28"/>
                <w:rtl/>
              </w:rPr>
              <w:t xml:space="preserve"> הקשר בין המידע החסוי לבין ה</w:t>
            </w:r>
            <w:r w:rsidR="00A133A1" w:rsidRPr="001A0B66">
              <w:rPr>
                <w:rFonts w:ascii="FrankRuehl" w:hAnsi="FrankRuehl" w:cs="FrankRuehl"/>
                <w:sz w:val="28"/>
                <w:szCs w:val="28"/>
                <w:rtl/>
              </w:rPr>
              <w:t>טענות וה</w:t>
            </w:r>
            <w:r w:rsidR="00146303" w:rsidRPr="001A0B66">
              <w:rPr>
                <w:rFonts w:ascii="FrankRuehl" w:hAnsi="FrankRuehl" w:cs="FrankRuehl"/>
                <w:sz w:val="28"/>
                <w:szCs w:val="28"/>
                <w:rtl/>
              </w:rPr>
              <w:t xml:space="preserve">סעד המבוקש בהליך החסוי וכן את נחיצותו של הסעד המבוקש לאור המידע החסוי, ויפעל </w:t>
            </w:r>
            <w:r w:rsidR="0001638C" w:rsidRPr="001A0B66">
              <w:rPr>
                <w:rFonts w:ascii="FrankRuehl" w:hAnsi="FrankRuehl" w:cs="FrankRuehl"/>
                <w:sz w:val="28"/>
                <w:szCs w:val="28"/>
                <w:rtl/>
              </w:rPr>
              <w:t>כדי</w:t>
            </w:r>
            <w:r w:rsidR="00146303" w:rsidRPr="001A0B66">
              <w:rPr>
                <w:rFonts w:ascii="FrankRuehl" w:hAnsi="FrankRuehl" w:cs="FrankRuehl"/>
                <w:sz w:val="28"/>
                <w:szCs w:val="28"/>
                <w:rtl/>
              </w:rPr>
              <w:t xml:space="preserve"> להגן על עניינו של האדם שנגדו ננקט ההליך החסוי בפני בית המשפט.</w:t>
            </w:r>
          </w:p>
          <w:p w14:paraId="66083888" w14:textId="77777777" w:rsidR="007E3E36" w:rsidRPr="001A0B66" w:rsidRDefault="007E3E36" w:rsidP="00F307FB">
            <w:pPr>
              <w:spacing w:line="276" w:lineRule="auto"/>
              <w:rPr>
                <w:rFonts w:ascii="FrankRuehl" w:hAnsi="FrankRuehl" w:cs="FrankRuehl"/>
                <w:sz w:val="28"/>
                <w:szCs w:val="28"/>
                <w:rtl/>
              </w:rPr>
            </w:pPr>
            <w:r w:rsidRPr="001A0B66">
              <w:rPr>
                <w:rFonts w:ascii="FrankRuehl" w:hAnsi="FrankRuehl" w:cs="FrankRuehl"/>
                <w:sz w:val="28"/>
                <w:szCs w:val="28"/>
                <w:rtl/>
              </w:rPr>
              <w:t>ב. הסנגור הציבורי הראשי ייקבע הנחיות לביצוע תפקידו של עורך הדין המיוחד.</w:t>
            </w:r>
          </w:p>
        </w:tc>
      </w:tr>
      <w:tr w:rsidR="00146303" w:rsidRPr="001A0B66" w14:paraId="6A9D7E00" w14:textId="77777777" w:rsidTr="009240E9">
        <w:trPr>
          <w:cantSplit/>
          <w:trHeight w:val="60"/>
        </w:trPr>
        <w:tc>
          <w:tcPr>
            <w:tcW w:w="1367" w:type="dxa"/>
            <w:gridSpan w:val="2"/>
          </w:tcPr>
          <w:p w14:paraId="5DA207EF" w14:textId="77777777" w:rsidR="00146303"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סדרי הדיון</w:t>
            </w:r>
          </w:p>
        </w:tc>
        <w:tc>
          <w:tcPr>
            <w:tcW w:w="624" w:type="dxa"/>
          </w:tcPr>
          <w:p w14:paraId="2C1737EA"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4.</w:t>
            </w:r>
          </w:p>
        </w:tc>
        <w:tc>
          <w:tcPr>
            <w:tcW w:w="6378" w:type="dxa"/>
            <w:gridSpan w:val="2"/>
          </w:tcPr>
          <w:p w14:paraId="11C8C88E" w14:textId="77777777" w:rsidR="0097295F"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(א)</w:t>
            </w:r>
            <w:r w:rsidRPr="001A0B66">
              <w:rPr>
                <w:rFonts w:ascii="FrankRuehl" w:hAnsi="FrankRuehl" w:cs="FrankRuehl"/>
                <w:sz w:val="28"/>
                <w:szCs w:val="28"/>
                <w:rtl/>
              </w:rPr>
              <w:tab/>
              <w:t>בכל הליך חסוי בפני בית משפט או בית דין יתייצב עורך דין מיוחד</w:t>
            </w:r>
            <w:r w:rsidR="0097295F" w:rsidRPr="001A0B66">
              <w:rPr>
                <w:rFonts w:ascii="FrankRuehl" w:hAnsi="FrankRuehl" w:cs="FrankRuehl"/>
                <w:sz w:val="28"/>
                <w:szCs w:val="28"/>
                <w:rtl/>
              </w:rPr>
              <w:t>.</w:t>
            </w:r>
          </w:p>
          <w:p w14:paraId="5EC29A12" w14:textId="77777777" w:rsidR="00D92647" w:rsidRPr="001A0B66" w:rsidRDefault="00146303" w:rsidP="00F307FB">
            <w:pPr>
              <w:spacing w:line="276" w:lineRule="auto"/>
              <w:ind w:left="567" w:hanging="567"/>
              <w:rPr>
                <w:rFonts w:ascii="FrankRuehl" w:hAnsi="FrankRuehl" w:cs="FrankRuehl"/>
                <w:sz w:val="28"/>
                <w:szCs w:val="28"/>
              </w:rPr>
            </w:pPr>
            <w:r w:rsidRPr="001A0B66">
              <w:rPr>
                <w:rFonts w:ascii="FrankRuehl" w:hAnsi="FrankRuehl" w:cs="FrankRuehl"/>
                <w:sz w:val="28"/>
                <w:szCs w:val="28"/>
                <w:rtl/>
              </w:rPr>
              <w:t>(ב)</w:t>
            </w:r>
            <w:r w:rsidR="00600D04" w:rsidRPr="001A0B66">
              <w:rPr>
                <w:rFonts w:ascii="FrankRuehl" w:hAnsi="FrankRuehl" w:cs="FrankRuehl"/>
                <w:sz w:val="28"/>
                <w:szCs w:val="28"/>
                <w:rtl/>
              </w:rPr>
              <w:t xml:space="preserve"> </w:t>
            </w:r>
            <w:r w:rsidR="00600D04" w:rsidRPr="001A0B66">
              <w:rPr>
                <w:rFonts w:ascii="FrankRuehl" w:hAnsi="FrankRuehl" w:cs="FrankRuehl"/>
                <w:sz w:val="28"/>
                <w:szCs w:val="28"/>
                <w:rtl/>
              </w:rPr>
              <w:tab/>
            </w:r>
            <w:bookmarkStart w:id="111" w:name="_Hlk67737911"/>
            <w:r w:rsidR="00F936CB" w:rsidRPr="001A0B66">
              <w:rPr>
                <w:rFonts w:ascii="FrankRuehl" w:hAnsi="FrankRuehl" w:cs="FrankRuehl"/>
                <w:sz w:val="28"/>
                <w:szCs w:val="28"/>
                <w:rtl/>
              </w:rPr>
              <w:t xml:space="preserve">כל מידע חסוי ילווה בתמצית של מידע זה כחלק מהצו המגביל שהוצא נגד האדם או כחלק מהפעולה השלטונית האחרת שהתקיימה בעניינו. הכנת התמצית תיעשה </w:t>
            </w:r>
            <w:r w:rsidR="00021C98" w:rsidRPr="001A0B66">
              <w:rPr>
                <w:rFonts w:ascii="FrankRuehl" w:hAnsi="FrankRuehl" w:cs="FrankRuehl"/>
                <w:sz w:val="28"/>
                <w:szCs w:val="28"/>
                <w:rtl/>
              </w:rPr>
              <w:t>באופן שי</w:t>
            </w:r>
            <w:r w:rsidR="00F936CB" w:rsidRPr="001A0B66">
              <w:rPr>
                <w:rFonts w:ascii="FrankRuehl" w:hAnsi="FrankRuehl" w:cs="FrankRuehl"/>
                <w:sz w:val="28"/>
                <w:szCs w:val="28"/>
                <w:rtl/>
              </w:rPr>
              <w:t>אפשר התגוננות מצד האדם, והיא תציג לפיכך במלוא הפירוט האפשרי את הגלום במידע החסוי ואת הנטען על יסודו, כדי לאפשר לו הצגת ראיות וטיעוני נגד</w:t>
            </w:r>
            <w:r w:rsidR="00402190" w:rsidRPr="001A0B66">
              <w:rPr>
                <w:rFonts w:ascii="FrankRuehl" w:hAnsi="FrankRuehl" w:cs="FrankRuehl"/>
                <w:sz w:val="28"/>
                <w:szCs w:val="28"/>
                <w:rtl/>
              </w:rPr>
              <w:t xml:space="preserve">. </w:t>
            </w:r>
            <w:bookmarkEnd w:id="111"/>
          </w:p>
        </w:tc>
      </w:tr>
      <w:tr w:rsidR="00146303" w:rsidRPr="001A0B66" w14:paraId="7C3D4E0A" w14:textId="77777777" w:rsidTr="009240E9">
        <w:trPr>
          <w:cantSplit/>
          <w:trHeight w:val="60"/>
        </w:trPr>
        <w:tc>
          <w:tcPr>
            <w:tcW w:w="1367" w:type="dxa"/>
            <w:gridSpan w:val="2"/>
          </w:tcPr>
          <w:p w14:paraId="36F7C18F"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59C95294"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1B71EA7C"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w:t>
            </w:r>
            <w:r w:rsidR="00B959A2" w:rsidRPr="001A0B66">
              <w:rPr>
                <w:rFonts w:ascii="FrankRuehl" w:hAnsi="FrankRuehl" w:cs="FrankRuehl"/>
                <w:sz w:val="28"/>
                <w:szCs w:val="28"/>
                <w:rtl/>
              </w:rPr>
              <w:t>ג</w:t>
            </w:r>
            <w:r w:rsidRPr="001A0B66">
              <w:rPr>
                <w:rFonts w:ascii="FrankRuehl" w:hAnsi="FrankRuehl" w:cs="FrankRuehl"/>
                <w:sz w:val="28"/>
                <w:szCs w:val="28"/>
                <w:rtl/>
              </w:rPr>
              <w:t>)</w:t>
            </w:r>
            <w:r w:rsidRPr="001A0B66">
              <w:rPr>
                <w:rFonts w:ascii="FrankRuehl" w:hAnsi="FrankRuehl" w:cs="FrankRuehl"/>
                <w:sz w:val="28"/>
                <w:szCs w:val="28"/>
                <w:rtl/>
              </w:rPr>
              <w:tab/>
              <w:t xml:space="preserve">עורך הדין המיוחד יקבל לידיו את המידע החסוי המוגש במסגרת ההליך החסוי לכל הפחות </w:t>
            </w:r>
            <w:r w:rsidR="00291E09" w:rsidRPr="001A0B66">
              <w:rPr>
                <w:rFonts w:ascii="FrankRuehl" w:hAnsi="FrankRuehl" w:cs="FrankRuehl"/>
                <w:sz w:val="28"/>
                <w:szCs w:val="28"/>
                <w:rtl/>
              </w:rPr>
              <w:t xml:space="preserve">24 שעות </w:t>
            </w:r>
            <w:r w:rsidRPr="001A0B66">
              <w:rPr>
                <w:rFonts w:ascii="FrankRuehl" w:hAnsi="FrankRuehl" w:cs="FrankRuehl"/>
                <w:sz w:val="28"/>
                <w:szCs w:val="28"/>
                <w:rtl/>
              </w:rPr>
              <w:t xml:space="preserve">לפני הדיון; נקבע ההליך למועד קרוב מ-24 שעות, </w:t>
            </w:r>
            <w:r w:rsidR="00A133A1" w:rsidRPr="001A0B66">
              <w:rPr>
                <w:rFonts w:ascii="FrankRuehl" w:hAnsi="FrankRuehl" w:cs="FrankRuehl"/>
                <w:sz w:val="28"/>
                <w:szCs w:val="28"/>
                <w:rtl/>
              </w:rPr>
              <w:t>יידחה ההליך</w:t>
            </w:r>
            <w:r w:rsidR="00F00EF2" w:rsidRPr="001A0B66">
              <w:rPr>
                <w:rFonts w:ascii="FrankRuehl" w:hAnsi="FrankRuehl" w:cs="FrankRuehl"/>
                <w:sz w:val="28"/>
                <w:szCs w:val="28"/>
                <w:rtl/>
              </w:rPr>
              <w:t>, אם יבקש זאת</w:t>
            </w:r>
            <w:r w:rsidR="00826C93" w:rsidRPr="001A0B66">
              <w:rPr>
                <w:rFonts w:ascii="FrankRuehl" w:hAnsi="FrankRuehl" w:cs="FrankRuehl"/>
                <w:sz w:val="28"/>
                <w:szCs w:val="28"/>
                <w:rtl/>
              </w:rPr>
              <w:t xml:space="preserve"> עורך הדין המיוחד</w:t>
            </w:r>
            <w:r w:rsidR="00A133A1" w:rsidRPr="001A0B66">
              <w:rPr>
                <w:rFonts w:ascii="FrankRuehl" w:hAnsi="FrankRuehl" w:cs="FrankRuehl"/>
                <w:sz w:val="28"/>
                <w:szCs w:val="28"/>
                <w:rtl/>
              </w:rPr>
              <w:t xml:space="preserve"> </w:t>
            </w:r>
            <w:r w:rsidR="00826C93" w:rsidRPr="001A0B66">
              <w:rPr>
                <w:rFonts w:ascii="FrankRuehl" w:hAnsi="FrankRuehl" w:cs="FrankRuehl"/>
                <w:sz w:val="28"/>
                <w:szCs w:val="28"/>
                <w:rtl/>
              </w:rPr>
              <w:t xml:space="preserve">כדי </w:t>
            </w:r>
            <w:r w:rsidR="00A133A1" w:rsidRPr="001A0B66">
              <w:rPr>
                <w:rFonts w:ascii="FrankRuehl" w:hAnsi="FrankRuehl" w:cs="FrankRuehl"/>
                <w:sz w:val="28"/>
                <w:szCs w:val="28"/>
                <w:rtl/>
              </w:rPr>
              <w:t>לאפשר</w:t>
            </w:r>
            <w:r w:rsidR="00CD1441" w:rsidRPr="001A0B66">
              <w:rPr>
                <w:rFonts w:ascii="FrankRuehl" w:hAnsi="FrankRuehl" w:cs="FrankRuehl"/>
                <w:sz w:val="28"/>
                <w:szCs w:val="28"/>
                <w:rtl/>
              </w:rPr>
              <w:t xml:space="preserve"> ל</w:t>
            </w:r>
            <w:r w:rsidR="00826C93" w:rsidRPr="001A0B66">
              <w:rPr>
                <w:rFonts w:ascii="FrankRuehl" w:hAnsi="FrankRuehl" w:cs="FrankRuehl"/>
                <w:sz w:val="28"/>
                <w:szCs w:val="28"/>
                <w:rtl/>
              </w:rPr>
              <w:t xml:space="preserve">ו </w:t>
            </w:r>
            <w:r w:rsidR="00A133A1" w:rsidRPr="001A0B66">
              <w:rPr>
                <w:rFonts w:ascii="FrankRuehl" w:hAnsi="FrankRuehl" w:cs="FrankRuehl"/>
                <w:sz w:val="28"/>
                <w:szCs w:val="28"/>
                <w:rtl/>
              </w:rPr>
              <w:t>עיון נאות ב</w:t>
            </w:r>
            <w:r w:rsidR="00122B0B" w:rsidRPr="001A0B66">
              <w:rPr>
                <w:rFonts w:ascii="FrankRuehl" w:hAnsi="FrankRuehl" w:cs="FrankRuehl"/>
                <w:sz w:val="28"/>
                <w:szCs w:val="28"/>
                <w:rtl/>
              </w:rPr>
              <w:t>מידע</w:t>
            </w:r>
            <w:r w:rsidR="00A133A1" w:rsidRPr="001A0B66">
              <w:rPr>
                <w:rFonts w:ascii="FrankRuehl" w:hAnsi="FrankRuehl" w:cs="FrankRuehl"/>
                <w:sz w:val="28"/>
                <w:szCs w:val="28"/>
                <w:rtl/>
              </w:rPr>
              <w:t xml:space="preserve"> החסוי</w:t>
            </w:r>
            <w:r w:rsidRPr="001A0B66">
              <w:rPr>
                <w:rFonts w:ascii="FrankRuehl" w:hAnsi="FrankRuehl" w:cs="FrankRuehl"/>
                <w:sz w:val="28"/>
                <w:szCs w:val="28"/>
                <w:rtl/>
              </w:rPr>
              <w:t xml:space="preserve">. </w:t>
            </w:r>
          </w:p>
        </w:tc>
      </w:tr>
      <w:tr w:rsidR="00146303" w:rsidRPr="001A0B66" w14:paraId="00E80455" w14:textId="77777777" w:rsidTr="009240E9">
        <w:trPr>
          <w:cantSplit/>
          <w:trHeight w:val="60"/>
        </w:trPr>
        <w:tc>
          <w:tcPr>
            <w:tcW w:w="1367" w:type="dxa"/>
            <w:gridSpan w:val="2"/>
          </w:tcPr>
          <w:p w14:paraId="56E7E246"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18E06F06"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750FF99D"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w:t>
            </w:r>
            <w:r w:rsidR="00B959A2" w:rsidRPr="001A0B66">
              <w:rPr>
                <w:rFonts w:ascii="FrankRuehl" w:hAnsi="FrankRuehl" w:cs="FrankRuehl"/>
                <w:sz w:val="28"/>
                <w:szCs w:val="28"/>
                <w:rtl/>
              </w:rPr>
              <w:t>ד</w:t>
            </w:r>
            <w:r w:rsidRPr="001A0B66">
              <w:rPr>
                <w:rFonts w:ascii="FrankRuehl" w:hAnsi="FrankRuehl" w:cs="FrankRuehl"/>
                <w:sz w:val="28"/>
                <w:szCs w:val="28"/>
                <w:rtl/>
              </w:rPr>
              <w:t>)</w:t>
            </w:r>
            <w:r w:rsidRPr="001A0B66">
              <w:rPr>
                <w:rFonts w:ascii="FrankRuehl" w:hAnsi="FrankRuehl" w:cs="FrankRuehl"/>
                <w:sz w:val="28"/>
                <w:szCs w:val="28"/>
                <w:rtl/>
              </w:rPr>
              <w:tab/>
              <w:t>המידע החסוי יימסר לעיון עורך הדין המיוחד במקום מאובטח וי</w:t>
            </w:r>
            <w:r w:rsidR="005A4A99" w:rsidRPr="001A0B66">
              <w:rPr>
                <w:rFonts w:ascii="FrankRuehl" w:hAnsi="FrankRuehl" w:cs="FrankRuehl"/>
                <w:sz w:val="28"/>
                <w:szCs w:val="28"/>
                <w:rtl/>
              </w:rPr>
              <w:t>י</w:t>
            </w:r>
            <w:r w:rsidRPr="001A0B66">
              <w:rPr>
                <w:rFonts w:ascii="FrankRuehl" w:hAnsi="FrankRuehl" w:cs="FrankRuehl"/>
                <w:sz w:val="28"/>
                <w:szCs w:val="28"/>
                <w:rtl/>
              </w:rPr>
              <w:t>שמר על ידו כפי שיקבע השר בתקנות.</w:t>
            </w:r>
          </w:p>
        </w:tc>
      </w:tr>
      <w:tr w:rsidR="00146303" w:rsidRPr="001A0B66" w14:paraId="6334BFC4" w14:textId="77777777" w:rsidTr="009240E9">
        <w:trPr>
          <w:cantSplit/>
          <w:trHeight w:val="60"/>
        </w:trPr>
        <w:tc>
          <w:tcPr>
            <w:tcW w:w="1367" w:type="dxa"/>
            <w:gridSpan w:val="2"/>
          </w:tcPr>
          <w:p w14:paraId="5FFAF3F0"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396D2DD5"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2C841C0C"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(ה)</w:t>
            </w:r>
            <w:r w:rsidRPr="001A0B66">
              <w:rPr>
                <w:rFonts w:ascii="FrankRuehl" w:hAnsi="FrankRuehl" w:cs="FrankRuehl"/>
                <w:sz w:val="28"/>
                <w:szCs w:val="28"/>
                <w:rtl/>
              </w:rPr>
              <w:tab/>
              <w:t>עורך דין מיוחד שהגיע אליו מידע חסוי תוך כדי מילוי תפקידו או במהלך עבודתו לא יגלה אותו לאחר ולא יעשה בו כל שימוש אלא לפי הוראות חוק זה.</w:t>
            </w:r>
            <w:r w:rsidR="00E02661" w:rsidRPr="001A0B66">
              <w:rPr>
                <w:rFonts w:ascii="FrankRuehl" w:hAnsi="FrankRuehl" w:cs="FrankRuehl"/>
                <w:sz w:val="28"/>
                <w:szCs w:val="28"/>
                <w:rtl/>
              </w:rPr>
              <w:t xml:space="preserve"> </w:t>
            </w:r>
          </w:p>
        </w:tc>
      </w:tr>
      <w:tr w:rsidR="00146303" w:rsidRPr="001A0B66" w14:paraId="285A5A6F" w14:textId="77777777" w:rsidTr="009240E9">
        <w:trPr>
          <w:cantSplit/>
          <w:trHeight w:val="60"/>
        </w:trPr>
        <w:tc>
          <w:tcPr>
            <w:tcW w:w="1367" w:type="dxa"/>
            <w:gridSpan w:val="2"/>
          </w:tcPr>
          <w:p w14:paraId="79ADA003"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14E07CD1"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03211CCB"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(ו)</w:t>
            </w:r>
            <w:r w:rsidRPr="001A0B66">
              <w:rPr>
                <w:rFonts w:ascii="FrankRuehl" w:hAnsi="FrankRuehl" w:cs="FrankRuehl"/>
                <w:sz w:val="28"/>
                <w:szCs w:val="28"/>
                <w:rtl/>
              </w:rPr>
              <w:tab/>
              <w:t xml:space="preserve">עורך דין מיוחד יפעל ככל </w:t>
            </w:r>
            <w:r w:rsidR="005A4A99" w:rsidRPr="001A0B66">
              <w:rPr>
                <w:rFonts w:ascii="FrankRuehl" w:hAnsi="FrankRuehl" w:cs="FrankRuehl"/>
                <w:sz w:val="28"/>
                <w:szCs w:val="28"/>
                <w:rtl/>
              </w:rPr>
              <w:t>האפשר כדי</w:t>
            </w:r>
            <w:r w:rsidRPr="001A0B66">
              <w:rPr>
                <w:rFonts w:ascii="FrankRuehl" w:hAnsi="FrankRuehl" w:cs="FrankRuehl"/>
                <w:sz w:val="28"/>
                <w:szCs w:val="28"/>
                <w:rtl/>
              </w:rPr>
              <w:t xml:space="preserve"> להיפגש עם האדם שנגדו ננקט ההליך החסוי בטרם נמסר לידיו המידע החסוי.</w:t>
            </w:r>
          </w:p>
        </w:tc>
      </w:tr>
      <w:tr w:rsidR="00146303" w:rsidRPr="001A0B66" w14:paraId="41EB6B93" w14:textId="77777777" w:rsidTr="009240E9">
        <w:trPr>
          <w:cantSplit/>
          <w:trHeight w:val="60"/>
        </w:trPr>
        <w:tc>
          <w:tcPr>
            <w:tcW w:w="1367" w:type="dxa"/>
            <w:gridSpan w:val="2"/>
          </w:tcPr>
          <w:p w14:paraId="2D4C2121"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5C9FC06F"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77A64D2B"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 xml:space="preserve">(ז) </w:t>
            </w:r>
            <w:r w:rsidRPr="001A0B66">
              <w:rPr>
                <w:rFonts w:ascii="FrankRuehl" w:hAnsi="FrankRuehl" w:cs="FrankRuehl"/>
                <w:sz w:val="28"/>
                <w:szCs w:val="28"/>
                <w:rtl/>
              </w:rPr>
              <w:tab/>
              <w:t xml:space="preserve">נמסר </w:t>
            </w:r>
            <w:r w:rsidR="005A4A99" w:rsidRPr="001A0B66">
              <w:rPr>
                <w:rFonts w:ascii="FrankRuehl" w:hAnsi="FrankRuehl" w:cs="FrankRuehl"/>
                <w:sz w:val="28"/>
                <w:szCs w:val="28"/>
                <w:rtl/>
              </w:rPr>
              <w:t xml:space="preserve">המידע החסוי </w:t>
            </w:r>
            <w:r w:rsidRPr="001A0B66">
              <w:rPr>
                <w:rFonts w:ascii="FrankRuehl" w:hAnsi="FrankRuehl" w:cs="FrankRuehl"/>
                <w:sz w:val="28"/>
                <w:szCs w:val="28"/>
                <w:rtl/>
              </w:rPr>
              <w:t>לעורך הדין המיוחד, לא יהיה</w:t>
            </w:r>
            <w:r w:rsidR="005A4A99" w:rsidRPr="001A0B66">
              <w:rPr>
                <w:rFonts w:ascii="FrankRuehl" w:hAnsi="FrankRuehl" w:cs="FrankRuehl"/>
                <w:sz w:val="28"/>
                <w:szCs w:val="28"/>
                <w:rtl/>
              </w:rPr>
              <w:t xml:space="preserve"> עורך הדין</w:t>
            </w:r>
            <w:r w:rsidRPr="001A0B66">
              <w:rPr>
                <w:rFonts w:ascii="FrankRuehl" w:hAnsi="FrankRuehl" w:cs="FrankRuehl"/>
                <w:sz w:val="28"/>
                <w:szCs w:val="28"/>
                <w:rtl/>
              </w:rPr>
              <w:t xml:space="preserve"> רשאי להיפגש עם האדם שנגדו ננקט ההליך החסוי או </w:t>
            </w:r>
            <w:r w:rsidR="005A4A99" w:rsidRPr="001A0B66">
              <w:rPr>
                <w:rFonts w:ascii="FrankRuehl" w:hAnsi="FrankRuehl" w:cs="FrankRuehl"/>
                <w:sz w:val="28"/>
                <w:szCs w:val="28"/>
                <w:rtl/>
              </w:rPr>
              <w:t xml:space="preserve">עם </w:t>
            </w:r>
            <w:r w:rsidRPr="001A0B66">
              <w:rPr>
                <w:rFonts w:ascii="FrankRuehl" w:hAnsi="FrankRuehl" w:cs="FrankRuehl"/>
                <w:sz w:val="28"/>
                <w:szCs w:val="28"/>
                <w:rtl/>
              </w:rPr>
              <w:t>מי מטעמו</w:t>
            </w:r>
            <w:r w:rsidR="003E7D6C" w:rsidRPr="001A0B66">
              <w:rPr>
                <w:rFonts w:ascii="FrankRuehl" w:hAnsi="FrankRuehl" w:cs="FrankRuehl"/>
                <w:sz w:val="28"/>
                <w:szCs w:val="28"/>
                <w:rtl/>
              </w:rPr>
              <w:t xml:space="preserve"> לאחר שעיין במידע זה</w:t>
            </w:r>
            <w:r w:rsidR="00256236" w:rsidRPr="001A0B66">
              <w:rPr>
                <w:rFonts w:ascii="FrankRuehl" w:hAnsi="FrankRuehl" w:cs="FrankRuehl"/>
                <w:sz w:val="28"/>
                <w:szCs w:val="28"/>
                <w:rtl/>
              </w:rPr>
              <w:t>,</w:t>
            </w:r>
            <w:r w:rsidRPr="001A0B66">
              <w:rPr>
                <w:rFonts w:ascii="FrankRuehl" w:hAnsi="FrankRuehl" w:cs="FrankRuehl"/>
                <w:sz w:val="28"/>
                <w:szCs w:val="28"/>
                <w:rtl/>
              </w:rPr>
              <w:t xml:space="preserve"> אלא באישור בית המשפט.</w:t>
            </w:r>
          </w:p>
        </w:tc>
      </w:tr>
      <w:tr w:rsidR="00146303" w:rsidRPr="001A0B66" w14:paraId="1D70AB61" w14:textId="77777777" w:rsidTr="009240E9">
        <w:trPr>
          <w:cantSplit/>
          <w:trHeight w:val="60"/>
        </w:trPr>
        <w:tc>
          <w:tcPr>
            <w:tcW w:w="1367" w:type="dxa"/>
            <w:gridSpan w:val="2"/>
          </w:tcPr>
          <w:p w14:paraId="7F8AB11A"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06B93653"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0A65B5A5" w14:textId="77777777" w:rsidR="00DF383D"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(ח)</w:t>
            </w:r>
            <w:r w:rsidRPr="001A0B66">
              <w:rPr>
                <w:rFonts w:ascii="FrankRuehl" w:hAnsi="FrankRuehl" w:cs="FrankRuehl"/>
                <w:sz w:val="28"/>
                <w:szCs w:val="28"/>
                <w:rtl/>
              </w:rPr>
              <w:tab/>
            </w:r>
            <w:r w:rsidR="00CD1441" w:rsidRPr="001A0B66">
              <w:rPr>
                <w:rFonts w:ascii="FrankRuehl" w:hAnsi="FrankRuehl" w:cs="FrankRuehl"/>
                <w:sz w:val="28"/>
                <w:szCs w:val="28"/>
                <w:rtl/>
              </w:rPr>
              <w:t>בעת הדיון ילווה המידע החסוי ב</w:t>
            </w:r>
            <w:r w:rsidR="00A86848" w:rsidRPr="001A0B66">
              <w:rPr>
                <w:rFonts w:ascii="FrankRuehl" w:hAnsi="FrankRuehl" w:cs="FrankRuehl"/>
                <w:sz w:val="28"/>
                <w:szCs w:val="28"/>
                <w:rtl/>
              </w:rPr>
              <w:t>נציג שירות הביטחון הכללי או נציג רשות ביטחונית אחרת או נציג רשות לאכיפת</w:t>
            </w:r>
            <w:r w:rsidR="005A4A99" w:rsidRPr="001A0B66">
              <w:rPr>
                <w:rFonts w:ascii="FrankRuehl" w:hAnsi="FrankRuehl" w:cs="FrankRuehl"/>
                <w:sz w:val="28"/>
                <w:szCs w:val="28"/>
                <w:rtl/>
              </w:rPr>
              <w:t xml:space="preserve"> </w:t>
            </w:r>
            <w:r w:rsidR="00A86848" w:rsidRPr="001A0B66">
              <w:rPr>
                <w:rFonts w:ascii="FrankRuehl" w:hAnsi="FrankRuehl" w:cs="FrankRuehl"/>
                <w:sz w:val="28"/>
                <w:szCs w:val="28"/>
                <w:rtl/>
              </w:rPr>
              <w:t>חוק אחרת</w:t>
            </w:r>
            <w:r w:rsidR="00CD1441" w:rsidRPr="001A0B66">
              <w:rPr>
                <w:rFonts w:ascii="FrankRuehl" w:hAnsi="FrankRuehl" w:cs="FrankRuehl"/>
                <w:sz w:val="28"/>
                <w:szCs w:val="28"/>
                <w:rtl/>
              </w:rPr>
              <w:t>, לפי העניין; נציג זה יהיה אדם</w:t>
            </w:r>
            <w:r w:rsidR="00A86848" w:rsidRPr="001A0B66">
              <w:rPr>
                <w:rFonts w:ascii="FrankRuehl" w:hAnsi="FrankRuehl" w:cs="FrankRuehl"/>
                <w:sz w:val="28"/>
                <w:szCs w:val="28"/>
                <w:rtl/>
              </w:rPr>
              <w:t xml:space="preserve"> המעורב ב</w:t>
            </w:r>
            <w:r w:rsidR="00CD1441" w:rsidRPr="001A0B66">
              <w:rPr>
                <w:rFonts w:ascii="FrankRuehl" w:hAnsi="FrankRuehl" w:cs="FrankRuehl"/>
                <w:sz w:val="28"/>
                <w:szCs w:val="28"/>
                <w:rtl/>
              </w:rPr>
              <w:t>איסוף ובניתוח</w:t>
            </w:r>
            <w:r w:rsidR="005A4A99" w:rsidRPr="001A0B66">
              <w:rPr>
                <w:rFonts w:ascii="FrankRuehl" w:hAnsi="FrankRuehl" w:cs="FrankRuehl"/>
                <w:sz w:val="28"/>
                <w:szCs w:val="28"/>
                <w:rtl/>
              </w:rPr>
              <w:t xml:space="preserve"> של</w:t>
            </w:r>
            <w:r w:rsidR="00CD1441" w:rsidRPr="001A0B66">
              <w:rPr>
                <w:rFonts w:ascii="FrankRuehl" w:hAnsi="FrankRuehl" w:cs="FrankRuehl"/>
                <w:sz w:val="28"/>
                <w:szCs w:val="28"/>
                <w:rtl/>
              </w:rPr>
              <w:t xml:space="preserve"> המידע החסוי</w:t>
            </w:r>
            <w:r w:rsidR="005A4A99" w:rsidRPr="001A0B66">
              <w:rPr>
                <w:rFonts w:ascii="FrankRuehl" w:hAnsi="FrankRuehl" w:cs="FrankRuehl"/>
                <w:sz w:val="28"/>
                <w:szCs w:val="28"/>
                <w:rtl/>
              </w:rPr>
              <w:t>,</w:t>
            </w:r>
            <w:r w:rsidR="00CD1441" w:rsidRPr="001A0B66">
              <w:rPr>
                <w:rFonts w:ascii="FrankRuehl" w:hAnsi="FrankRuehl" w:cs="FrankRuehl"/>
                <w:sz w:val="28"/>
                <w:szCs w:val="28"/>
                <w:rtl/>
              </w:rPr>
              <w:t xml:space="preserve"> והוא </w:t>
            </w:r>
            <w:r w:rsidR="00A86848" w:rsidRPr="001A0B66">
              <w:rPr>
                <w:rFonts w:ascii="FrankRuehl" w:hAnsi="FrankRuehl" w:cs="FrankRuehl"/>
                <w:sz w:val="28"/>
                <w:szCs w:val="28"/>
                <w:rtl/>
              </w:rPr>
              <w:t xml:space="preserve">יעמוד לחקירה נגדית </w:t>
            </w:r>
            <w:r w:rsidR="005A4A99" w:rsidRPr="001A0B66">
              <w:rPr>
                <w:rFonts w:ascii="FrankRuehl" w:hAnsi="FrankRuehl" w:cs="FrankRuehl"/>
                <w:sz w:val="28"/>
                <w:szCs w:val="28"/>
                <w:rtl/>
              </w:rPr>
              <w:t>של</w:t>
            </w:r>
            <w:r w:rsidR="00A86848" w:rsidRPr="001A0B66">
              <w:rPr>
                <w:rFonts w:ascii="FrankRuehl" w:hAnsi="FrankRuehl" w:cs="FrankRuehl"/>
                <w:sz w:val="28"/>
                <w:szCs w:val="28"/>
                <w:rtl/>
              </w:rPr>
              <w:t xml:space="preserve"> עורך הדין המיוחד</w:t>
            </w:r>
            <w:r w:rsidR="005A4A99" w:rsidRPr="001A0B66">
              <w:rPr>
                <w:rFonts w:ascii="FrankRuehl" w:hAnsi="FrankRuehl" w:cs="FrankRuehl"/>
                <w:sz w:val="28"/>
                <w:szCs w:val="28"/>
                <w:rtl/>
              </w:rPr>
              <w:t>,</w:t>
            </w:r>
            <w:r w:rsidR="00CD1441" w:rsidRPr="001A0B66">
              <w:rPr>
                <w:rFonts w:ascii="FrankRuehl" w:hAnsi="FrankRuehl" w:cs="FrankRuehl"/>
                <w:sz w:val="28"/>
                <w:szCs w:val="28"/>
                <w:rtl/>
              </w:rPr>
              <w:t xml:space="preserve"> </w:t>
            </w:r>
            <w:r w:rsidR="00494173" w:rsidRPr="001A0B66">
              <w:rPr>
                <w:rFonts w:ascii="FrankRuehl" w:hAnsi="FrankRuehl" w:cs="FrankRuehl"/>
                <w:sz w:val="28"/>
                <w:szCs w:val="28"/>
                <w:rtl/>
              </w:rPr>
              <w:t>ז</w:t>
            </w:r>
            <w:r w:rsidR="00CD1441" w:rsidRPr="001A0B66">
              <w:rPr>
                <w:rFonts w:ascii="FrankRuehl" w:hAnsi="FrankRuehl" w:cs="FrankRuehl"/>
                <w:sz w:val="28"/>
                <w:szCs w:val="28"/>
                <w:rtl/>
              </w:rPr>
              <w:t xml:space="preserve">ולת </w:t>
            </w:r>
            <w:r w:rsidR="00494173" w:rsidRPr="001A0B66">
              <w:rPr>
                <w:rFonts w:ascii="FrankRuehl" w:hAnsi="FrankRuehl" w:cs="FrankRuehl"/>
                <w:sz w:val="28"/>
                <w:szCs w:val="28"/>
                <w:rtl/>
              </w:rPr>
              <w:t xml:space="preserve">אם פטר בית המשפט את </w:t>
            </w:r>
            <w:r w:rsidR="00CD1441" w:rsidRPr="001A0B66">
              <w:rPr>
                <w:rFonts w:ascii="FrankRuehl" w:hAnsi="FrankRuehl" w:cs="FrankRuehl"/>
                <w:sz w:val="28"/>
                <w:szCs w:val="28"/>
                <w:rtl/>
              </w:rPr>
              <w:t xml:space="preserve">הנציג </w:t>
            </w:r>
            <w:r w:rsidR="00494173" w:rsidRPr="001A0B66">
              <w:rPr>
                <w:rFonts w:ascii="FrankRuehl" w:hAnsi="FrankRuehl" w:cs="FrankRuehl"/>
                <w:sz w:val="28"/>
                <w:szCs w:val="28"/>
                <w:rtl/>
              </w:rPr>
              <w:t>מהתייצבות לחקירה</w:t>
            </w:r>
            <w:r w:rsidR="005A4A99" w:rsidRPr="001A0B66">
              <w:rPr>
                <w:rFonts w:ascii="FrankRuehl" w:hAnsi="FrankRuehl" w:cs="FrankRuehl"/>
                <w:sz w:val="28"/>
                <w:szCs w:val="28"/>
                <w:rtl/>
              </w:rPr>
              <w:t xml:space="preserve"> מטעמים מיוחדים שיפורטו</w:t>
            </w:r>
            <w:r w:rsidR="00CD1441" w:rsidRPr="001A0B66">
              <w:rPr>
                <w:rFonts w:ascii="FrankRuehl" w:hAnsi="FrankRuehl" w:cs="FrankRuehl"/>
                <w:sz w:val="28"/>
                <w:szCs w:val="28"/>
                <w:rtl/>
              </w:rPr>
              <w:t xml:space="preserve"> או הסכים להחליפו בנציג אחר</w:t>
            </w:r>
            <w:r w:rsidR="0097295F" w:rsidRPr="001A0B66">
              <w:rPr>
                <w:rFonts w:ascii="FrankRuehl" w:hAnsi="FrankRuehl" w:cs="FrankRuehl"/>
                <w:sz w:val="28"/>
                <w:szCs w:val="28"/>
                <w:rtl/>
              </w:rPr>
              <w:t xml:space="preserve">. </w:t>
            </w:r>
          </w:p>
          <w:p w14:paraId="7AF623D9" w14:textId="77777777" w:rsidR="00DF383D" w:rsidRPr="001A0B66" w:rsidRDefault="00DF383D"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w:t>
            </w:r>
            <w:r w:rsidR="00B959A2" w:rsidRPr="001A0B66">
              <w:rPr>
                <w:rFonts w:ascii="FrankRuehl" w:hAnsi="FrankRuehl" w:cs="FrankRuehl"/>
                <w:sz w:val="28"/>
                <w:szCs w:val="28"/>
                <w:rtl/>
              </w:rPr>
              <w:t>ט</w:t>
            </w:r>
            <w:r w:rsidRPr="001A0B66">
              <w:rPr>
                <w:rFonts w:ascii="FrankRuehl" w:hAnsi="FrankRuehl" w:cs="FrankRuehl"/>
                <w:sz w:val="28"/>
                <w:szCs w:val="28"/>
                <w:rtl/>
              </w:rPr>
              <w:t>)</w:t>
            </w:r>
            <w:r w:rsidRPr="001A0B66">
              <w:rPr>
                <w:rFonts w:ascii="FrankRuehl" w:hAnsi="FrankRuehl" w:cs="FrankRuehl"/>
                <w:sz w:val="28"/>
                <w:szCs w:val="28"/>
                <w:rtl/>
              </w:rPr>
              <w:tab/>
            </w:r>
            <w:r w:rsidR="004D00EE" w:rsidRPr="001A0B66">
              <w:rPr>
                <w:rFonts w:ascii="FrankRuehl" w:hAnsi="FrankRuehl" w:cs="FrankRuehl"/>
                <w:sz w:val="28"/>
                <w:szCs w:val="28"/>
                <w:rtl/>
              </w:rPr>
              <w:t xml:space="preserve">האדם, עורך דינו הרגיל ועורך הדין המיוחד יוכלו, </w:t>
            </w:r>
            <w:r w:rsidRPr="001A0B66">
              <w:rPr>
                <w:rFonts w:ascii="FrankRuehl" w:hAnsi="FrankRuehl" w:cs="FrankRuehl"/>
                <w:sz w:val="28"/>
                <w:szCs w:val="28"/>
                <w:rtl/>
              </w:rPr>
              <w:t>ברשות בית המשפט</w:t>
            </w:r>
            <w:r w:rsidR="004D00EE" w:rsidRPr="001A0B66">
              <w:rPr>
                <w:rFonts w:ascii="FrankRuehl" w:hAnsi="FrankRuehl" w:cs="FrankRuehl"/>
                <w:sz w:val="28"/>
                <w:szCs w:val="28"/>
                <w:rtl/>
              </w:rPr>
              <w:t xml:space="preserve">, </w:t>
            </w:r>
            <w:r w:rsidRPr="001A0B66">
              <w:rPr>
                <w:rFonts w:ascii="FrankRuehl" w:hAnsi="FrankRuehl" w:cs="FrankRuehl"/>
                <w:sz w:val="28"/>
                <w:szCs w:val="28"/>
                <w:rtl/>
              </w:rPr>
              <w:t>ל</w:t>
            </w:r>
            <w:r w:rsidR="00B959A2" w:rsidRPr="001A0B66">
              <w:rPr>
                <w:rFonts w:ascii="FrankRuehl" w:hAnsi="FrankRuehl" w:cs="FrankRuehl"/>
                <w:sz w:val="28"/>
                <w:szCs w:val="28"/>
                <w:rtl/>
              </w:rPr>
              <w:t xml:space="preserve">זמן לעדות </w:t>
            </w:r>
            <w:r w:rsidRPr="001A0B66">
              <w:rPr>
                <w:rFonts w:ascii="FrankRuehl" w:hAnsi="FrankRuehl" w:cs="FrankRuehl"/>
                <w:sz w:val="28"/>
                <w:szCs w:val="28"/>
                <w:rtl/>
              </w:rPr>
              <w:t xml:space="preserve">עדים </w:t>
            </w:r>
            <w:r w:rsidR="004D00EE" w:rsidRPr="001A0B66">
              <w:rPr>
                <w:rFonts w:ascii="FrankRuehl" w:hAnsi="FrankRuehl" w:cs="FrankRuehl"/>
                <w:sz w:val="28"/>
                <w:szCs w:val="28"/>
                <w:rtl/>
              </w:rPr>
              <w:t xml:space="preserve">מטעמו של האדם ביחס לטענות ולראיות שנחשפו </w:t>
            </w:r>
            <w:r w:rsidR="00B959A2" w:rsidRPr="001A0B66">
              <w:rPr>
                <w:rFonts w:ascii="FrankRuehl" w:hAnsi="FrankRuehl" w:cs="FrankRuehl"/>
                <w:sz w:val="28"/>
                <w:szCs w:val="28"/>
                <w:rtl/>
              </w:rPr>
              <w:t>בפניו</w:t>
            </w:r>
            <w:r w:rsidR="004D00EE" w:rsidRPr="001A0B66">
              <w:rPr>
                <w:rFonts w:ascii="FrankRuehl" w:hAnsi="FrankRuehl" w:cs="FrankRuehl"/>
                <w:sz w:val="28"/>
                <w:szCs w:val="28"/>
                <w:rtl/>
              </w:rPr>
              <w:t>; ו</w:t>
            </w:r>
            <w:r w:rsidR="00B959A2" w:rsidRPr="001A0B66">
              <w:rPr>
                <w:rFonts w:ascii="FrankRuehl" w:hAnsi="FrankRuehl" w:cs="FrankRuehl"/>
                <w:sz w:val="28"/>
                <w:szCs w:val="28"/>
                <w:rtl/>
              </w:rPr>
              <w:t>עורך הדין המיוחד</w:t>
            </w:r>
            <w:r w:rsidR="004D00EE" w:rsidRPr="001A0B66">
              <w:rPr>
                <w:rFonts w:ascii="FrankRuehl" w:hAnsi="FrankRuehl" w:cs="FrankRuehl"/>
                <w:sz w:val="28"/>
                <w:szCs w:val="28"/>
                <w:rtl/>
              </w:rPr>
              <w:t xml:space="preserve"> יוכל, ברשות בית המשפט, להזמין לעדות</w:t>
            </w:r>
            <w:r w:rsidR="00F55B36" w:rsidRPr="001A0B66">
              <w:rPr>
                <w:rFonts w:ascii="FrankRuehl" w:hAnsi="FrankRuehl" w:cs="FrankRuehl"/>
                <w:sz w:val="28"/>
                <w:szCs w:val="28"/>
                <w:rtl/>
              </w:rPr>
              <w:t xml:space="preserve"> ולחקירה</w:t>
            </w:r>
            <w:r w:rsidR="004D00EE" w:rsidRPr="001A0B66">
              <w:rPr>
                <w:rFonts w:ascii="FrankRuehl" w:hAnsi="FrankRuehl" w:cs="FrankRuehl"/>
                <w:sz w:val="28"/>
                <w:szCs w:val="28"/>
                <w:rtl/>
              </w:rPr>
              <w:t xml:space="preserve">, שלא בנוכחות האדם ועורך דינו הרגיל, חוקר מסוים מטעמה של הרשות החוקרת, וכן עד מומחה ביחס לשאלות העולות מתוך הראיות שנותרו חסויות. </w:t>
            </w:r>
          </w:p>
          <w:p w14:paraId="4FCA42C7" w14:textId="77777777" w:rsidR="0097295F" w:rsidRPr="001A0B66" w:rsidRDefault="0097295F"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w:t>
            </w:r>
            <w:r w:rsidR="00B959A2" w:rsidRPr="001A0B66">
              <w:rPr>
                <w:rFonts w:ascii="FrankRuehl" w:hAnsi="FrankRuehl" w:cs="FrankRuehl"/>
                <w:sz w:val="28"/>
                <w:szCs w:val="28"/>
                <w:rtl/>
              </w:rPr>
              <w:t>י</w:t>
            </w:r>
            <w:r w:rsidRPr="001A0B66">
              <w:rPr>
                <w:rFonts w:ascii="FrankRuehl" w:hAnsi="FrankRuehl" w:cs="FrankRuehl"/>
                <w:sz w:val="28"/>
                <w:szCs w:val="28"/>
                <w:rtl/>
              </w:rPr>
              <w:t>)</w:t>
            </w:r>
            <w:r w:rsidR="00600D04" w:rsidRPr="001A0B66">
              <w:rPr>
                <w:rFonts w:ascii="FrankRuehl" w:hAnsi="FrankRuehl" w:cs="FrankRuehl"/>
                <w:sz w:val="28"/>
                <w:szCs w:val="28"/>
                <w:rtl/>
              </w:rPr>
              <w:t xml:space="preserve"> </w:t>
            </w:r>
            <w:r w:rsidR="00600D04" w:rsidRPr="001A0B66">
              <w:rPr>
                <w:rFonts w:ascii="FrankRuehl" w:hAnsi="FrankRuehl" w:cs="FrankRuehl"/>
                <w:sz w:val="28"/>
                <w:szCs w:val="28"/>
                <w:rtl/>
              </w:rPr>
              <w:tab/>
            </w:r>
            <w:r w:rsidR="0088723C" w:rsidRPr="001A0B66">
              <w:rPr>
                <w:rFonts w:ascii="FrankRuehl" w:hAnsi="FrankRuehl" w:cs="FrankRuehl"/>
                <w:sz w:val="28"/>
                <w:szCs w:val="28"/>
                <w:rtl/>
              </w:rPr>
              <w:t>עורך הדין המיוחד רשאי להסתייע ב</w:t>
            </w:r>
            <w:r w:rsidR="00C012E5" w:rsidRPr="001A0B66">
              <w:rPr>
                <w:rFonts w:ascii="FrankRuehl" w:hAnsi="FrankRuehl" w:cs="FrankRuehl"/>
                <w:sz w:val="28"/>
                <w:szCs w:val="28"/>
                <w:rtl/>
              </w:rPr>
              <w:t xml:space="preserve">מתורגמן; המתורגמן יהיה בעל סיווג בטחוני מהסוג של עורך הדין המיוחד, ויופיע ברשימת המתורגמנים </w:t>
            </w:r>
            <w:r w:rsidR="0057313F" w:rsidRPr="001A0B66">
              <w:rPr>
                <w:rFonts w:ascii="FrankRuehl" w:hAnsi="FrankRuehl" w:cs="FrankRuehl"/>
                <w:sz w:val="28"/>
                <w:szCs w:val="28"/>
                <w:rtl/>
              </w:rPr>
              <w:t xml:space="preserve">שיגבש </w:t>
            </w:r>
            <w:r w:rsidR="00C012E5" w:rsidRPr="001A0B66">
              <w:rPr>
                <w:rFonts w:ascii="FrankRuehl" w:hAnsi="FrankRuehl" w:cs="FrankRuehl"/>
                <w:sz w:val="28"/>
                <w:szCs w:val="28"/>
                <w:rtl/>
              </w:rPr>
              <w:t>הסנגור האזרחי הארצי</w:t>
            </w:r>
            <w:r w:rsidR="00DD7FE3" w:rsidRPr="001A0B66">
              <w:rPr>
                <w:rFonts w:ascii="FrankRuehl" w:hAnsi="FrankRuehl" w:cs="FrankRuehl"/>
                <w:sz w:val="28"/>
                <w:szCs w:val="28"/>
                <w:rtl/>
              </w:rPr>
              <w:t xml:space="preserve"> על יסוד אמות מידה שקבע</w:t>
            </w:r>
            <w:r w:rsidR="00C012E5" w:rsidRPr="001A0B66">
              <w:rPr>
                <w:rFonts w:ascii="FrankRuehl" w:hAnsi="FrankRuehl" w:cs="FrankRuehl"/>
                <w:sz w:val="28"/>
                <w:szCs w:val="28"/>
                <w:rtl/>
              </w:rPr>
              <w:t xml:space="preserve"> ו</w:t>
            </w:r>
            <w:r w:rsidR="005A4A99" w:rsidRPr="001A0B66">
              <w:rPr>
                <w:rFonts w:ascii="FrankRuehl" w:hAnsi="FrankRuehl" w:cs="FrankRuehl"/>
                <w:sz w:val="28"/>
                <w:szCs w:val="28"/>
                <w:rtl/>
              </w:rPr>
              <w:t xml:space="preserve">אשר </w:t>
            </w:r>
            <w:r w:rsidR="00C012E5" w:rsidRPr="001A0B66">
              <w:rPr>
                <w:rFonts w:ascii="FrankRuehl" w:hAnsi="FrankRuehl" w:cs="FrankRuehl"/>
                <w:sz w:val="28"/>
                <w:szCs w:val="28"/>
                <w:rtl/>
              </w:rPr>
              <w:t>תעודכן מעת לעת.</w:t>
            </w:r>
            <w:r w:rsidR="00980DE0" w:rsidRPr="001A0B66">
              <w:rPr>
                <w:rFonts w:ascii="FrankRuehl" w:hAnsi="FrankRuehl" w:cs="FrankRuehl"/>
                <w:sz w:val="28"/>
                <w:szCs w:val="28"/>
                <w:rtl/>
              </w:rPr>
              <w:t xml:space="preserve"> שירותיו של המתורגמן ימומנו על ידי המדינה.</w:t>
            </w:r>
          </w:p>
        </w:tc>
      </w:tr>
      <w:tr w:rsidR="00146303" w:rsidRPr="001A0B66" w14:paraId="515E8249" w14:textId="77777777" w:rsidTr="009240E9">
        <w:trPr>
          <w:gridBefore w:val="1"/>
          <w:wBefore w:w="8" w:type="dxa"/>
          <w:cantSplit/>
          <w:trHeight w:val="26"/>
        </w:trPr>
        <w:tc>
          <w:tcPr>
            <w:tcW w:w="1359" w:type="dxa"/>
          </w:tcPr>
          <w:p w14:paraId="066B6EF9" w14:textId="77777777" w:rsidR="00146303"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כשירות</w:t>
            </w:r>
          </w:p>
        </w:tc>
        <w:tc>
          <w:tcPr>
            <w:tcW w:w="624" w:type="dxa"/>
          </w:tcPr>
          <w:p w14:paraId="628D0BEA"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5.</w:t>
            </w:r>
          </w:p>
        </w:tc>
        <w:tc>
          <w:tcPr>
            <w:tcW w:w="6378" w:type="dxa"/>
            <w:gridSpan w:val="2"/>
          </w:tcPr>
          <w:p w14:paraId="580EF875"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כשיר להתמנות לעורך דין מיוחד</w:t>
            </w:r>
            <w:r w:rsidRPr="001A0B66">
              <w:rPr>
                <w:rFonts w:ascii="FrankRuehl" w:hAnsi="FrankRuehl" w:cs="FrankRuehl"/>
                <w:sz w:val="28"/>
                <w:szCs w:val="28"/>
              </w:rPr>
              <w:t xml:space="preserve"> </w:t>
            </w:r>
            <w:r w:rsidRPr="001A0B66">
              <w:rPr>
                <w:rFonts w:ascii="FrankRuehl" w:hAnsi="FrankRuehl" w:cs="FrankRuehl"/>
                <w:sz w:val="28"/>
                <w:szCs w:val="28"/>
                <w:rtl/>
              </w:rPr>
              <w:t>כל אדם שהוא:</w:t>
            </w:r>
          </w:p>
        </w:tc>
      </w:tr>
      <w:tr w:rsidR="00146303" w:rsidRPr="001A0B66" w14:paraId="0748C5A9" w14:textId="77777777" w:rsidTr="009240E9">
        <w:trPr>
          <w:gridBefore w:val="1"/>
          <w:wBefore w:w="8" w:type="dxa"/>
          <w:cantSplit/>
          <w:trHeight w:val="60"/>
        </w:trPr>
        <w:tc>
          <w:tcPr>
            <w:tcW w:w="1359" w:type="dxa"/>
          </w:tcPr>
          <w:p w14:paraId="31B905EF"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22256C61" w14:textId="77777777" w:rsidR="00146303" w:rsidRPr="001A0B66" w:rsidRDefault="00146303" w:rsidP="00F307FB">
            <w:pPr>
              <w:spacing w:line="276" w:lineRule="auto"/>
              <w:rPr>
                <w:rFonts w:ascii="FrankRuehl" w:hAnsi="FrankRuehl" w:cs="FrankRuehl"/>
                <w:sz w:val="28"/>
                <w:szCs w:val="28"/>
              </w:rPr>
            </w:pPr>
          </w:p>
        </w:tc>
        <w:tc>
          <w:tcPr>
            <w:tcW w:w="6378" w:type="dxa"/>
            <w:gridSpan w:val="2"/>
          </w:tcPr>
          <w:p w14:paraId="10BB94D1" w14:textId="77777777" w:rsidR="00146303" w:rsidRPr="001A0B66" w:rsidRDefault="00146303" w:rsidP="00F307FB">
            <w:pPr>
              <w:spacing w:line="276" w:lineRule="auto"/>
              <w:ind w:left="567" w:hanging="567"/>
              <w:rPr>
                <w:rFonts w:ascii="FrankRuehl" w:hAnsi="FrankRuehl" w:cs="FrankRuehl"/>
                <w:sz w:val="28"/>
                <w:szCs w:val="28"/>
              </w:rPr>
            </w:pPr>
            <w:r w:rsidRPr="001A0B66">
              <w:rPr>
                <w:rFonts w:ascii="FrankRuehl" w:hAnsi="FrankRuehl" w:cs="FrankRuehl"/>
                <w:sz w:val="28"/>
                <w:szCs w:val="28"/>
                <w:rtl/>
              </w:rPr>
              <w:t>(א)</w:t>
            </w:r>
            <w:r w:rsidRPr="001A0B66">
              <w:rPr>
                <w:rFonts w:ascii="FrankRuehl" w:hAnsi="FrankRuehl" w:cs="FrankRuehl"/>
                <w:sz w:val="28"/>
                <w:szCs w:val="28"/>
                <w:rtl/>
              </w:rPr>
              <w:tab/>
              <w:t>חבר בלשכת עורכי הדין בישראל, עסק בעריכת דין</w:t>
            </w:r>
            <w:r w:rsidR="005A4A99" w:rsidRPr="001A0B66">
              <w:rPr>
                <w:rFonts w:ascii="FrankRuehl" w:hAnsi="FrankRuehl" w:cs="FrankRuehl"/>
                <w:sz w:val="28"/>
                <w:szCs w:val="28"/>
                <w:rtl/>
              </w:rPr>
              <w:t xml:space="preserve"> –</w:t>
            </w:r>
            <w:r w:rsidRPr="001A0B66">
              <w:rPr>
                <w:rFonts w:ascii="FrankRuehl" w:hAnsi="FrankRuehl" w:cs="FrankRuehl"/>
                <w:sz w:val="28"/>
                <w:szCs w:val="28"/>
                <w:rtl/>
              </w:rPr>
              <w:t xml:space="preserve"> ברציפות או לסירוגין</w:t>
            </w:r>
            <w:r w:rsidR="005A4A99" w:rsidRPr="001A0B66">
              <w:rPr>
                <w:rFonts w:ascii="FrankRuehl" w:hAnsi="FrankRuehl" w:cs="FrankRuehl"/>
                <w:sz w:val="28"/>
                <w:szCs w:val="28"/>
                <w:rtl/>
              </w:rPr>
              <w:t xml:space="preserve"> –</w:t>
            </w:r>
            <w:r w:rsidRPr="001A0B66">
              <w:rPr>
                <w:rFonts w:ascii="FrankRuehl" w:hAnsi="FrankRuehl" w:cs="FrankRuehl"/>
                <w:sz w:val="28"/>
                <w:szCs w:val="28"/>
                <w:rtl/>
              </w:rPr>
              <w:t xml:space="preserve"> חמש שנים לפחות</w:t>
            </w:r>
            <w:r w:rsidR="00A133A1" w:rsidRPr="001A0B66">
              <w:rPr>
                <w:rFonts w:ascii="FrankRuehl" w:hAnsi="FrankRuehl" w:cs="FrankRuehl"/>
                <w:sz w:val="28"/>
                <w:szCs w:val="28"/>
                <w:rtl/>
              </w:rPr>
              <w:t xml:space="preserve"> ו</w:t>
            </w:r>
            <w:r w:rsidR="00C012E5" w:rsidRPr="001A0B66">
              <w:rPr>
                <w:rFonts w:ascii="FrankRuehl" w:hAnsi="FrankRuehl" w:cs="FrankRuehl"/>
                <w:sz w:val="28"/>
                <w:szCs w:val="28"/>
                <w:rtl/>
              </w:rPr>
              <w:t xml:space="preserve">הוא </w:t>
            </w:r>
            <w:r w:rsidR="00A133A1" w:rsidRPr="001A0B66">
              <w:rPr>
                <w:rFonts w:ascii="FrankRuehl" w:hAnsi="FrankRuehl" w:cs="FrankRuehl"/>
                <w:sz w:val="28"/>
                <w:szCs w:val="28"/>
                <w:rtl/>
              </w:rPr>
              <w:t>כשיר להתמנות כסנגור ציבורי לייצוג בפני בתי משפט מחוזיים ו</w:t>
            </w:r>
            <w:r w:rsidR="005A4A99" w:rsidRPr="001A0B66">
              <w:rPr>
                <w:rFonts w:ascii="FrankRuehl" w:hAnsi="FrankRuehl" w:cs="FrankRuehl"/>
                <w:sz w:val="28"/>
                <w:szCs w:val="28"/>
                <w:rtl/>
              </w:rPr>
              <w:t xml:space="preserve">בפני </w:t>
            </w:r>
            <w:r w:rsidR="00A133A1" w:rsidRPr="001A0B66">
              <w:rPr>
                <w:rFonts w:ascii="FrankRuehl" w:hAnsi="FrankRuehl" w:cs="FrankRuehl"/>
                <w:sz w:val="28"/>
                <w:szCs w:val="28"/>
                <w:rtl/>
              </w:rPr>
              <w:t>בית המשפט העליון;</w:t>
            </w:r>
          </w:p>
        </w:tc>
      </w:tr>
      <w:tr w:rsidR="00146303" w:rsidRPr="001A0B66" w14:paraId="18BF1C57" w14:textId="77777777" w:rsidTr="009240E9">
        <w:trPr>
          <w:gridBefore w:val="1"/>
          <w:wBefore w:w="8" w:type="dxa"/>
          <w:cantSplit/>
          <w:trHeight w:val="60"/>
        </w:trPr>
        <w:tc>
          <w:tcPr>
            <w:tcW w:w="1359" w:type="dxa"/>
          </w:tcPr>
          <w:p w14:paraId="0DD38C8F"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07C40B37" w14:textId="77777777" w:rsidR="00146303" w:rsidRPr="001A0B66" w:rsidRDefault="00146303" w:rsidP="00F307FB">
            <w:pPr>
              <w:spacing w:line="276" w:lineRule="auto"/>
              <w:rPr>
                <w:rFonts w:ascii="FrankRuehl" w:hAnsi="FrankRuehl" w:cs="FrankRuehl"/>
                <w:sz w:val="28"/>
                <w:szCs w:val="28"/>
              </w:rPr>
            </w:pPr>
          </w:p>
        </w:tc>
        <w:tc>
          <w:tcPr>
            <w:tcW w:w="6378" w:type="dxa"/>
            <w:gridSpan w:val="2"/>
          </w:tcPr>
          <w:p w14:paraId="06EEF87A"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(ב)</w:t>
            </w:r>
            <w:r w:rsidRPr="001A0B66">
              <w:rPr>
                <w:rFonts w:ascii="FrankRuehl" w:hAnsi="FrankRuehl" w:cs="FrankRuehl"/>
                <w:sz w:val="28"/>
                <w:szCs w:val="28"/>
                <w:rtl/>
              </w:rPr>
              <w:tab/>
            </w:r>
            <w:r w:rsidR="00A133A1" w:rsidRPr="001A0B66">
              <w:rPr>
                <w:rFonts w:ascii="FrankRuehl" w:hAnsi="FrankRuehl" w:cs="FrankRuehl"/>
                <w:sz w:val="28"/>
                <w:szCs w:val="28"/>
                <w:rtl/>
              </w:rPr>
              <w:t xml:space="preserve">קיבל אישור לייצג בפני </w:t>
            </w:r>
            <w:r w:rsidR="006C6DCE" w:rsidRPr="001A0B66">
              <w:rPr>
                <w:rFonts w:ascii="FrankRuehl" w:hAnsi="FrankRuehl" w:cs="FrankRuehl"/>
                <w:sz w:val="28"/>
                <w:szCs w:val="28"/>
                <w:rtl/>
              </w:rPr>
              <w:t xml:space="preserve">בתי </w:t>
            </w:r>
            <w:r w:rsidR="00A133A1" w:rsidRPr="001A0B66">
              <w:rPr>
                <w:rFonts w:ascii="FrankRuehl" w:hAnsi="FrankRuehl" w:cs="FrankRuehl"/>
                <w:sz w:val="28"/>
                <w:szCs w:val="28"/>
                <w:rtl/>
              </w:rPr>
              <w:t>דין צבאיים בהתאם לסעיף 318 לחוק השיפוט הצבאי</w:t>
            </w:r>
            <w:r w:rsidRPr="001A0B66">
              <w:rPr>
                <w:rFonts w:ascii="FrankRuehl" w:hAnsi="FrankRuehl" w:cs="FrankRuehl"/>
                <w:sz w:val="28"/>
                <w:szCs w:val="28"/>
                <w:rtl/>
              </w:rPr>
              <w:t>;</w:t>
            </w:r>
          </w:p>
        </w:tc>
      </w:tr>
      <w:tr w:rsidR="00146303" w:rsidRPr="001A0B66" w14:paraId="286D542F" w14:textId="77777777" w:rsidTr="009240E9">
        <w:trPr>
          <w:gridBefore w:val="1"/>
          <w:wBefore w:w="8" w:type="dxa"/>
          <w:cantSplit/>
          <w:trHeight w:val="60"/>
        </w:trPr>
        <w:tc>
          <w:tcPr>
            <w:tcW w:w="1359" w:type="dxa"/>
          </w:tcPr>
          <w:p w14:paraId="76AEFC09"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3207DB95" w14:textId="77777777" w:rsidR="00146303" w:rsidRPr="001A0B66" w:rsidRDefault="00146303" w:rsidP="00F307FB">
            <w:pPr>
              <w:spacing w:line="276" w:lineRule="auto"/>
              <w:rPr>
                <w:rFonts w:ascii="FrankRuehl" w:hAnsi="FrankRuehl" w:cs="FrankRuehl"/>
                <w:sz w:val="28"/>
                <w:szCs w:val="28"/>
              </w:rPr>
            </w:pPr>
          </w:p>
        </w:tc>
        <w:tc>
          <w:tcPr>
            <w:tcW w:w="6378" w:type="dxa"/>
            <w:gridSpan w:val="2"/>
          </w:tcPr>
          <w:p w14:paraId="727FB5C6"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(ג)</w:t>
            </w:r>
            <w:r w:rsidRPr="001A0B66">
              <w:rPr>
                <w:rFonts w:ascii="FrankRuehl" w:hAnsi="FrankRuehl" w:cs="FrankRuehl"/>
                <w:sz w:val="28"/>
                <w:szCs w:val="28"/>
                <w:rtl/>
              </w:rPr>
              <w:tab/>
              <w:t xml:space="preserve">בעל היכרות מוקדמת עם </w:t>
            </w:r>
            <w:r w:rsidR="006D5961" w:rsidRPr="001A0B66">
              <w:rPr>
                <w:rFonts w:ascii="FrankRuehl" w:hAnsi="FrankRuehl" w:cs="FrankRuehl"/>
                <w:sz w:val="28"/>
                <w:szCs w:val="28"/>
                <w:rtl/>
              </w:rPr>
              <w:t>הליכי חקירה או עם הליכים משפטיים בעבירות ביטחון</w:t>
            </w:r>
            <w:r w:rsidRPr="001A0B66">
              <w:rPr>
                <w:rFonts w:ascii="FrankRuehl" w:hAnsi="FrankRuehl" w:cs="FrankRuehl"/>
                <w:sz w:val="28"/>
                <w:szCs w:val="28"/>
                <w:rtl/>
              </w:rPr>
              <w:t>;</w:t>
            </w:r>
          </w:p>
        </w:tc>
      </w:tr>
      <w:tr w:rsidR="00146303" w:rsidRPr="001A0B66" w14:paraId="75338FFC" w14:textId="77777777" w:rsidTr="009240E9">
        <w:trPr>
          <w:gridBefore w:val="1"/>
          <w:wBefore w:w="8" w:type="dxa"/>
          <w:cantSplit/>
          <w:trHeight w:val="60"/>
        </w:trPr>
        <w:tc>
          <w:tcPr>
            <w:tcW w:w="1359" w:type="dxa"/>
          </w:tcPr>
          <w:p w14:paraId="05434E3E" w14:textId="77777777" w:rsidR="00146303" w:rsidRPr="001A0B66" w:rsidRDefault="00146303" w:rsidP="00F307FB">
            <w:pPr>
              <w:spacing w:line="276" w:lineRule="auto"/>
              <w:jc w:val="left"/>
              <w:rPr>
                <w:rFonts w:ascii="FrankRuehl" w:hAnsi="FrankRuehl" w:cs="FrankRuehl"/>
                <w:b/>
                <w:bCs/>
                <w:sz w:val="28"/>
                <w:szCs w:val="28"/>
              </w:rPr>
            </w:pPr>
          </w:p>
        </w:tc>
        <w:tc>
          <w:tcPr>
            <w:tcW w:w="624" w:type="dxa"/>
          </w:tcPr>
          <w:p w14:paraId="021D58B9" w14:textId="77777777" w:rsidR="00146303" w:rsidRPr="001A0B66" w:rsidRDefault="00146303" w:rsidP="00F307FB">
            <w:pPr>
              <w:spacing w:line="276" w:lineRule="auto"/>
              <w:rPr>
                <w:rFonts w:ascii="FrankRuehl" w:hAnsi="FrankRuehl" w:cs="FrankRuehl"/>
                <w:sz w:val="28"/>
                <w:szCs w:val="28"/>
              </w:rPr>
            </w:pPr>
          </w:p>
        </w:tc>
        <w:tc>
          <w:tcPr>
            <w:tcW w:w="6378" w:type="dxa"/>
            <w:gridSpan w:val="2"/>
          </w:tcPr>
          <w:p w14:paraId="3AE16D86"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(ד)</w:t>
            </w:r>
            <w:r w:rsidRPr="001A0B66">
              <w:rPr>
                <w:rFonts w:ascii="FrankRuehl" w:hAnsi="FrankRuehl" w:cs="FrankRuehl"/>
                <w:sz w:val="28"/>
                <w:szCs w:val="28"/>
                <w:rtl/>
              </w:rPr>
              <w:tab/>
              <w:t>קיבל הכשרה מתאימה, כפי שיקבע הסנגור הציבורי הארצי.</w:t>
            </w:r>
          </w:p>
        </w:tc>
      </w:tr>
      <w:tr w:rsidR="00146303" w:rsidRPr="001A0B66" w14:paraId="741C8801" w14:textId="77777777" w:rsidTr="009240E9">
        <w:trPr>
          <w:gridBefore w:val="1"/>
          <w:wBefore w:w="8" w:type="dxa"/>
          <w:cantSplit/>
          <w:trHeight w:val="60"/>
        </w:trPr>
        <w:tc>
          <w:tcPr>
            <w:tcW w:w="1359" w:type="dxa"/>
          </w:tcPr>
          <w:p w14:paraId="5627B360" w14:textId="77777777" w:rsidR="00146303"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ועדה לאישור עורכי הדין המיוחדים</w:t>
            </w:r>
            <w:r w:rsidR="007116D4" w:rsidRPr="001A0B66">
              <w:rPr>
                <w:rFonts w:ascii="FrankRuehl" w:hAnsi="FrankRuehl" w:cs="FrankRuehl"/>
                <w:b/>
                <w:bCs/>
                <w:sz w:val="28"/>
                <w:szCs w:val="28"/>
                <w:rtl/>
              </w:rPr>
              <w:t xml:space="preserve"> ורשימת עורכי דין מיוחדים</w:t>
            </w:r>
          </w:p>
        </w:tc>
        <w:tc>
          <w:tcPr>
            <w:tcW w:w="624" w:type="dxa"/>
          </w:tcPr>
          <w:p w14:paraId="4C195B64"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6.</w:t>
            </w:r>
          </w:p>
        </w:tc>
        <w:tc>
          <w:tcPr>
            <w:tcW w:w="6378" w:type="dxa"/>
            <w:gridSpan w:val="2"/>
          </w:tcPr>
          <w:p w14:paraId="03D3EC4A" w14:textId="77777777" w:rsidR="00146303" w:rsidRPr="001A0B66" w:rsidRDefault="00A133A1" w:rsidP="00F307FB">
            <w:pPr>
              <w:spacing w:line="276" w:lineRule="auto"/>
              <w:rPr>
                <w:rFonts w:ascii="FrankRuehl" w:hAnsi="FrankRuehl" w:cs="FrankRuehl"/>
                <w:sz w:val="28"/>
                <w:szCs w:val="28"/>
              </w:rPr>
            </w:pPr>
            <w:r w:rsidRPr="001A0B66">
              <w:rPr>
                <w:rFonts w:ascii="FrankRuehl" w:hAnsi="FrankRuehl" w:cs="FrankRuehl"/>
                <w:sz w:val="28"/>
                <w:szCs w:val="28"/>
                <w:rtl/>
              </w:rPr>
              <w:t>בסנגוריה הציבורית</w:t>
            </w:r>
            <w:r w:rsidR="004534DD" w:rsidRPr="001A0B66">
              <w:rPr>
                <w:rFonts w:ascii="FrankRuehl" w:hAnsi="FrankRuehl" w:cs="FrankRuehl"/>
                <w:sz w:val="28"/>
                <w:szCs w:val="28"/>
                <w:rtl/>
              </w:rPr>
              <w:t xml:space="preserve"> תוקם</w:t>
            </w:r>
            <w:r w:rsidR="00146303" w:rsidRPr="001A0B66">
              <w:rPr>
                <w:rFonts w:ascii="FrankRuehl" w:hAnsi="FrankRuehl" w:cs="FrankRuehl"/>
                <w:sz w:val="28"/>
                <w:szCs w:val="28"/>
                <w:rtl/>
              </w:rPr>
              <w:t xml:space="preserve"> ועדה לאישור עורכי דין מיוחדים שיהיו רשאים לייצג בהליכים חסויים</w:t>
            </w:r>
            <w:r w:rsidR="00600D04" w:rsidRPr="001A0B66">
              <w:rPr>
                <w:rFonts w:ascii="FrankRuehl" w:hAnsi="FrankRuehl" w:cs="FrankRuehl"/>
                <w:sz w:val="28"/>
                <w:szCs w:val="28"/>
                <w:rtl/>
              </w:rPr>
              <w:t>.</w:t>
            </w:r>
            <w:r w:rsidRPr="001A0B66">
              <w:rPr>
                <w:rFonts w:ascii="FrankRuehl" w:hAnsi="FrankRuehl" w:cs="FrankRuehl"/>
                <w:sz w:val="28"/>
                <w:szCs w:val="28"/>
                <w:rtl/>
              </w:rPr>
              <w:t xml:space="preserve"> בראש</w:t>
            </w:r>
            <w:r w:rsidR="00600D04" w:rsidRPr="001A0B66">
              <w:rPr>
                <w:rFonts w:ascii="FrankRuehl" w:hAnsi="FrankRuehl" w:cs="FrankRuehl"/>
                <w:sz w:val="28"/>
                <w:szCs w:val="28"/>
                <w:rtl/>
              </w:rPr>
              <w:t xml:space="preserve"> הוועדה יעמוד</w:t>
            </w:r>
            <w:r w:rsidRPr="001A0B66">
              <w:rPr>
                <w:rFonts w:ascii="FrankRuehl" w:hAnsi="FrankRuehl" w:cs="FrankRuehl"/>
                <w:sz w:val="28"/>
                <w:szCs w:val="28"/>
                <w:rtl/>
              </w:rPr>
              <w:t xml:space="preserve"> הסנגור הציבורי הארצי, </w:t>
            </w:r>
            <w:r w:rsidR="00600D04" w:rsidRPr="001A0B66">
              <w:rPr>
                <w:rFonts w:ascii="FrankRuehl" w:hAnsi="FrankRuehl" w:cs="FrankRuehl"/>
                <w:sz w:val="28"/>
                <w:szCs w:val="28"/>
                <w:rtl/>
              </w:rPr>
              <w:t xml:space="preserve">והוא </w:t>
            </w:r>
            <w:r w:rsidRPr="001A0B66">
              <w:rPr>
                <w:rFonts w:ascii="FrankRuehl" w:hAnsi="FrankRuehl" w:cs="FrankRuehl"/>
                <w:sz w:val="28"/>
                <w:szCs w:val="28"/>
                <w:rtl/>
              </w:rPr>
              <w:t>ייקבע את הרכבה</w:t>
            </w:r>
            <w:r w:rsidR="00146303" w:rsidRPr="001A0B66">
              <w:rPr>
                <w:rFonts w:ascii="FrankRuehl" w:hAnsi="FrankRuehl" w:cs="FrankRuehl"/>
                <w:sz w:val="28"/>
                <w:szCs w:val="28"/>
                <w:rtl/>
              </w:rPr>
              <w:t>.</w:t>
            </w:r>
            <w:r w:rsidRPr="001A0B66">
              <w:rPr>
                <w:rFonts w:ascii="FrankRuehl" w:hAnsi="FrankRuehl" w:cs="FrankRuehl"/>
                <w:sz w:val="28"/>
                <w:szCs w:val="28"/>
                <w:rtl/>
              </w:rPr>
              <w:t xml:space="preserve"> הוועדה תהיה מוסמכת לאשר עורכי דין המועסקים בסנגוריה ה</w:t>
            </w:r>
            <w:r w:rsidR="00002C5D" w:rsidRPr="001A0B66">
              <w:rPr>
                <w:rFonts w:ascii="FrankRuehl" w:hAnsi="FrankRuehl" w:cs="FrankRuehl"/>
                <w:sz w:val="28"/>
                <w:szCs w:val="28"/>
                <w:rtl/>
              </w:rPr>
              <w:t>צ</w:t>
            </w:r>
            <w:r w:rsidRPr="001A0B66">
              <w:rPr>
                <w:rFonts w:ascii="FrankRuehl" w:hAnsi="FrankRuehl" w:cs="FrankRuehl"/>
                <w:sz w:val="28"/>
                <w:szCs w:val="28"/>
                <w:rtl/>
              </w:rPr>
              <w:t>יבורית וכן עורכי דין שאינם מועסקים כאמור</w:t>
            </w:r>
            <w:r w:rsidR="00002C5D" w:rsidRPr="001A0B66">
              <w:rPr>
                <w:rFonts w:ascii="FrankRuehl" w:hAnsi="FrankRuehl" w:cs="FrankRuehl"/>
                <w:sz w:val="28"/>
                <w:szCs w:val="28"/>
                <w:rtl/>
              </w:rPr>
              <w:t>, ותרכיב רשימ</w:t>
            </w:r>
            <w:r w:rsidR="007116D4" w:rsidRPr="001A0B66">
              <w:rPr>
                <w:rFonts w:ascii="FrankRuehl" w:hAnsi="FrankRuehl" w:cs="FrankRuehl"/>
                <w:sz w:val="28"/>
                <w:szCs w:val="28"/>
                <w:rtl/>
              </w:rPr>
              <w:t>ת עורכי דין מיוחדים שתעודכן מעת לעת</w:t>
            </w:r>
            <w:r w:rsidRPr="001A0B66">
              <w:rPr>
                <w:rFonts w:ascii="FrankRuehl" w:hAnsi="FrankRuehl" w:cs="FrankRuehl"/>
                <w:sz w:val="28"/>
                <w:szCs w:val="28"/>
                <w:rtl/>
              </w:rPr>
              <w:t>.</w:t>
            </w:r>
          </w:p>
        </w:tc>
      </w:tr>
      <w:tr w:rsidR="00146303" w:rsidRPr="001A0B66" w14:paraId="10FF85EE" w14:textId="77777777" w:rsidTr="009240E9">
        <w:trPr>
          <w:gridBefore w:val="1"/>
          <w:wBefore w:w="8" w:type="dxa"/>
          <w:cantSplit/>
          <w:trHeight w:val="60"/>
        </w:trPr>
        <w:tc>
          <w:tcPr>
            <w:tcW w:w="1359" w:type="dxa"/>
          </w:tcPr>
          <w:p w14:paraId="059A8641" w14:textId="77777777" w:rsidR="00146303" w:rsidRPr="001A0B66" w:rsidRDefault="00146303" w:rsidP="00F307FB">
            <w:pPr>
              <w:spacing w:line="276" w:lineRule="auto"/>
              <w:jc w:val="left"/>
              <w:rPr>
                <w:rFonts w:ascii="FrankRuehl" w:hAnsi="FrankRuehl" w:cs="FrankRuehl"/>
                <w:b/>
                <w:bCs/>
                <w:sz w:val="28"/>
                <w:szCs w:val="28"/>
              </w:rPr>
            </w:pPr>
            <w:r w:rsidRPr="001A0B66">
              <w:rPr>
                <w:rFonts w:ascii="FrankRuehl" w:hAnsi="FrankRuehl" w:cs="FrankRuehl"/>
                <w:b/>
                <w:bCs/>
                <w:sz w:val="28"/>
                <w:szCs w:val="28"/>
                <w:rtl/>
              </w:rPr>
              <w:t>אישור</w:t>
            </w:r>
            <w:r w:rsidR="00A96FAC" w:rsidRPr="001A0B66">
              <w:rPr>
                <w:rFonts w:ascii="FrankRuehl" w:hAnsi="FrankRuehl" w:cs="FrankRuehl"/>
                <w:b/>
                <w:bCs/>
                <w:sz w:val="28"/>
                <w:szCs w:val="28"/>
                <w:rtl/>
              </w:rPr>
              <w:t xml:space="preserve"> </w:t>
            </w:r>
            <w:r w:rsidRPr="001A0B66">
              <w:rPr>
                <w:rFonts w:ascii="FrankRuehl" w:hAnsi="FrankRuehl" w:cs="FrankRuehl"/>
                <w:b/>
                <w:bCs/>
                <w:sz w:val="28"/>
                <w:szCs w:val="28"/>
                <w:rtl/>
              </w:rPr>
              <w:t>הוועדה</w:t>
            </w:r>
            <w:r w:rsidR="00A133A1" w:rsidRPr="001A0B66">
              <w:rPr>
                <w:rFonts w:ascii="FrankRuehl" w:hAnsi="FrankRuehl" w:cs="FrankRuehl"/>
                <w:b/>
                <w:bCs/>
                <w:sz w:val="28"/>
                <w:szCs w:val="28"/>
                <w:rtl/>
              </w:rPr>
              <w:t xml:space="preserve"> </w:t>
            </w:r>
          </w:p>
        </w:tc>
        <w:tc>
          <w:tcPr>
            <w:tcW w:w="624" w:type="dxa"/>
          </w:tcPr>
          <w:p w14:paraId="141D10B5" w14:textId="77777777" w:rsidR="00146303" w:rsidRPr="001A0B66" w:rsidRDefault="00146303" w:rsidP="00F307FB">
            <w:pPr>
              <w:spacing w:line="276" w:lineRule="auto"/>
              <w:rPr>
                <w:rFonts w:ascii="FrankRuehl" w:hAnsi="FrankRuehl" w:cs="FrankRuehl"/>
                <w:sz w:val="28"/>
                <w:szCs w:val="28"/>
              </w:rPr>
            </w:pPr>
            <w:r w:rsidRPr="001A0B66">
              <w:rPr>
                <w:rFonts w:ascii="FrankRuehl" w:hAnsi="FrankRuehl" w:cs="FrankRuehl"/>
                <w:sz w:val="28"/>
                <w:szCs w:val="28"/>
                <w:rtl/>
              </w:rPr>
              <w:t>7.</w:t>
            </w:r>
          </w:p>
        </w:tc>
        <w:tc>
          <w:tcPr>
            <w:tcW w:w="6378" w:type="dxa"/>
            <w:gridSpan w:val="2"/>
          </w:tcPr>
          <w:p w14:paraId="3A169FDC"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(א)</w:t>
            </w:r>
            <w:r w:rsidRPr="001A0B66">
              <w:rPr>
                <w:rFonts w:ascii="FrankRuehl" w:hAnsi="FrankRuehl" w:cs="FrankRuehl"/>
                <w:sz w:val="28"/>
                <w:szCs w:val="28"/>
                <w:rtl/>
              </w:rPr>
              <w:tab/>
            </w:r>
            <w:r w:rsidR="00480CC1" w:rsidRPr="001A0B66">
              <w:rPr>
                <w:rFonts w:ascii="FrankRuehl" w:hAnsi="FrankRuehl" w:cs="FrankRuehl"/>
                <w:sz w:val="28"/>
                <w:szCs w:val="28"/>
                <w:rtl/>
              </w:rPr>
              <w:t>עורכי דין</w:t>
            </w:r>
            <w:r w:rsidRPr="001A0B66">
              <w:rPr>
                <w:rFonts w:ascii="FrankRuehl" w:hAnsi="FrankRuehl" w:cs="FrankRuehl"/>
                <w:sz w:val="28"/>
                <w:szCs w:val="28"/>
                <w:rtl/>
              </w:rPr>
              <w:t xml:space="preserve"> העומדים בתנאי הכשירות הקבועים בסעיף 5</w:t>
            </w:r>
            <w:r w:rsidR="00480CC1" w:rsidRPr="001A0B66">
              <w:rPr>
                <w:rFonts w:ascii="FrankRuehl" w:hAnsi="FrankRuehl" w:cs="FrankRuehl"/>
                <w:sz w:val="28"/>
                <w:szCs w:val="28"/>
                <w:rtl/>
              </w:rPr>
              <w:t xml:space="preserve"> יוכלו להגיש מועמדות לוועדה</w:t>
            </w:r>
            <w:r w:rsidRPr="001A0B66">
              <w:rPr>
                <w:rFonts w:ascii="FrankRuehl" w:hAnsi="FrankRuehl" w:cs="FrankRuehl"/>
                <w:sz w:val="28"/>
                <w:szCs w:val="28"/>
                <w:rtl/>
              </w:rPr>
              <w:t>.</w:t>
            </w:r>
          </w:p>
        </w:tc>
      </w:tr>
      <w:tr w:rsidR="00146303" w:rsidRPr="001A0B66" w14:paraId="7750A3D5" w14:textId="77777777" w:rsidTr="009240E9">
        <w:trPr>
          <w:cantSplit/>
          <w:trHeight w:val="60"/>
        </w:trPr>
        <w:tc>
          <w:tcPr>
            <w:tcW w:w="1367" w:type="dxa"/>
            <w:gridSpan w:val="2"/>
          </w:tcPr>
          <w:p w14:paraId="35C1A81F"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615B6AA0"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0B167344"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(ב)</w:t>
            </w:r>
            <w:r w:rsidRPr="001A0B66">
              <w:rPr>
                <w:rFonts w:ascii="FrankRuehl" w:hAnsi="FrankRuehl" w:cs="FrankRuehl"/>
                <w:sz w:val="28"/>
                <w:szCs w:val="28"/>
                <w:rtl/>
              </w:rPr>
              <w:tab/>
              <w:t xml:space="preserve">מצאה הוועדה כי </w:t>
            </w:r>
            <w:r w:rsidR="00C012E5" w:rsidRPr="001A0B66">
              <w:rPr>
                <w:rFonts w:ascii="FrankRuehl" w:hAnsi="FrankRuehl" w:cs="FrankRuehl"/>
                <w:sz w:val="28"/>
                <w:szCs w:val="28"/>
                <w:rtl/>
              </w:rPr>
              <w:t xml:space="preserve">המועמד </w:t>
            </w:r>
            <w:r w:rsidRPr="001A0B66">
              <w:rPr>
                <w:rFonts w:ascii="FrankRuehl" w:hAnsi="FrankRuehl" w:cs="FrankRuehl"/>
                <w:sz w:val="28"/>
                <w:szCs w:val="28"/>
                <w:rtl/>
              </w:rPr>
              <w:t>כשיר לשמש בתפקיד</w:t>
            </w:r>
            <w:r w:rsidR="005A4A99" w:rsidRPr="001A0B66">
              <w:rPr>
                <w:rFonts w:ascii="FrankRuehl" w:hAnsi="FrankRuehl" w:cs="FrankRuehl"/>
                <w:sz w:val="28"/>
                <w:szCs w:val="28"/>
                <w:rtl/>
              </w:rPr>
              <w:t xml:space="preserve"> –</w:t>
            </w:r>
            <w:r w:rsidRPr="001A0B66">
              <w:rPr>
                <w:rFonts w:ascii="FrankRuehl" w:hAnsi="FrankRuehl" w:cs="FrankRuehl"/>
                <w:sz w:val="28"/>
                <w:szCs w:val="28"/>
                <w:rtl/>
              </w:rPr>
              <w:t xml:space="preserve"> </w:t>
            </w:r>
            <w:r w:rsidR="00A133A1" w:rsidRPr="001A0B66">
              <w:rPr>
                <w:rFonts w:ascii="FrankRuehl" w:hAnsi="FrankRuehl" w:cs="FrankRuehl"/>
                <w:sz w:val="28"/>
                <w:szCs w:val="28"/>
                <w:rtl/>
              </w:rPr>
              <w:t>תאשר</w:t>
            </w:r>
            <w:r w:rsidRPr="001A0B66">
              <w:rPr>
                <w:rFonts w:ascii="FrankRuehl" w:hAnsi="FrankRuehl" w:cs="FrankRuehl"/>
                <w:sz w:val="28"/>
                <w:szCs w:val="28"/>
                <w:rtl/>
              </w:rPr>
              <w:t xml:space="preserve"> א</w:t>
            </w:r>
            <w:r w:rsidR="00FE005B" w:rsidRPr="001A0B66">
              <w:rPr>
                <w:rFonts w:ascii="FrankRuehl" w:hAnsi="FrankRuehl" w:cs="FrankRuehl"/>
                <w:sz w:val="28"/>
                <w:szCs w:val="28"/>
                <w:rtl/>
              </w:rPr>
              <w:t>ותו</w:t>
            </w:r>
            <w:r w:rsidRPr="001A0B66">
              <w:rPr>
                <w:rFonts w:ascii="FrankRuehl" w:hAnsi="FrankRuehl" w:cs="FrankRuehl"/>
                <w:sz w:val="28"/>
                <w:szCs w:val="28"/>
                <w:rtl/>
              </w:rPr>
              <w:t xml:space="preserve"> כעורך דין מיוחד בהליכים חסויים.</w:t>
            </w:r>
          </w:p>
        </w:tc>
      </w:tr>
      <w:tr w:rsidR="00146303" w:rsidRPr="001A0B66" w14:paraId="413FFF09" w14:textId="77777777" w:rsidTr="009240E9">
        <w:trPr>
          <w:cantSplit/>
          <w:trHeight w:val="60"/>
        </w:trPr>
        <w:tc>
          <w:tcPr>
            <w:tcW w:w="1367" w:type="dxa"/>
            <w:gridSpan w:val="2"/>
          </w:tcPr>
          <w:p w14:paraId="6BAA220E" w14:textId="77777777" w:rsidR="00146303" w:rsidRPr="001A0B66" w:rsidRDefault="00146303" w:rsidP="00F307FB">
            <w:pPr>
              <w:spacing w:line="276" w:lineRule="auto"/>
              <w:jc w:val="left"/>
              <w:rPr>
                <w:rFonts w:ascii="FrankRuehl" w:hAnsi="FrankRuehl" w:cs="FrankRuehl"/>
                <w:b/>
                <w:bCs/>
                <w:sz w:val="28"/>
                <w:szCs w:val="28"/>
                <w:rtl/>
              </w:rPr>
            </w:pPr>
          </w:p>
        </w:tc>
        <w:tc>
          <w:tcPr>
            <w:tcW w:w="624" w:type="dxa"/>
          </w:tcPr>
          <w:p w14:paraId="78E960B4" w14:textId="77777777" w:rsidR="00146303" w:rsidRPr="001A0B66" w:rsidRDefault="00146303" w:rsidP="00F307FB">
            <w:pPr>
              <w:spacing w:line="276" w:lineRule="auto"/>
              <w:rPr>
                <w:rFonts w:ascii="FrankRuehl" w:hAnsi="FrankRuehl" w:cs="FrankRuehl"/>
                <w:sz w:val="28"/>
                <w:szCs w:val="28"/>
                <w:rtl/>
              </w:rPr>
            </w:pPr>
          </w:p>
        </w:tc>
        <w:tc>
          <w:tcPr>
            <w:tcW w:w="6378" w:type="dxa"/>
            <w:gridSpan w:val="2"/>
          </w:tcPr>
          <w:p w14:paraId="2C2FCFB4" w14:textId="77777777" w:rsidR="00146303"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(ג)</w:t>
            </w:r>
            <w:r w:rsidRPr="001A0B66">
              <w:rPr>
                <w:rFonts w:ascii="FrankRuehl" w:hAnsi="FrankRuehl" w:cs="FrankRuehl"/>
                <w:sz w:val="28"/>
                <w:szCs w:val="28"/>
                <w:rtl/>
              </w:rPr>
              <w:tab/>
              <w:t>לבקשת שר המשפטים</w:t>
            </w:r>
            <w:r w:rsidR="00FE005B" w:rsidRPr="001A0B66">
              <w:rPr>
                <w:rFonts w:ascii="FrankRuehl" w:hAnsi="FrankRuehl" w:cs="FrankRuehl"/>
                <w:sz w:val="28"/>
                <w:szCs w:val="28"/>
                <w:rtl/>
              </w:rPr>
              <w:t xml:space="preserve"> או לבקשת הסנגור הציבורי הארצי</w:t>
            </w:r>
            <w:r w:rsidR="00D45155" w:rsidRPr="001A0B66">
              <w:rPr>
                <w:rFonts w:ascii="FrankRuehl" w:hAnsi="FrankRuehl" w:cs="FrankRuehl"/>
                <w:sz w:val="28"/>
                <w:szCs w:val="28"/>
                <w:rtl/>
              </w:rPr>
              <w:t xml:space="preserve"> </w:t>
            </w:r>
            <w:r w:rsidRPr="001A0B66">
              <w:rPr>
                <w:rFonts w:ascii="FrankRuehl" w:hAnsi="FrankRuehl" w:cs="FrankRuehl"/>
                <w:sz w:val="28"/>
                <w:szCs w:val="28"/>
                <w:rtl/>
              </w:rPr>
              <w:t>תהא</w:t>
            </w:r>
            <w:r w:rsidR="005A4A99" w:rsidRPr="001A0B66">
              <w:rPr>
                <w:rFonts w:ascii="FrankRuehl" w:hAnsi="FrankRuehl" w:cs="FrankRuehl"/>
                <w:sz w:val="28"/>
                <w:szCs w:val="28"/>
                <w:rtl/>
              </w:rPr>
              <w:t xml:space="preserve"> הוועדה</w:t>
            </w:r>
            <w:r w:rsidRPr="001A0B66">
              <w:rPr>
                <w:rFonts w:ascii="FrankRuehl" w:hAnsi="FrankRuehl" w:cs="FrankRuehl"/>
                <w:sz w:val="28"/>
                <w:szCs w:val="28"/>
                <w:rtl/>
              </w:rPr>
              <w:t xml:space="preserve"> רשאית</w:t>
            </w:r>
            <w:r w:rsidR="00B10F1D" w:rsidRPr="001A0B66">
              <w:rPr>
                <w:rFonts w:ascii="FrankRuehl" w:hAnsi="FrankRuehl" w:cs="FrankRuehl"/>
                <w:sz w:val="28"/>
                <w:szCs w:val="28"/>
                <w:rtl/>
              </w:rPr>
              <w:t>, בכפוף לקיומו של הליך הוגן,</w:t>
            </w:r>
            <w:r w:rsidRPr="001A0B66">
              <w:rPr>
                <w:rFonts w:ascii="FrankRuehl" w:hAnsi="FrankRuehl" w:cs="FrankRuehl"/>
                <w:sz w:val="28"/>
                <w:szCs w:val="28"/>
                <w:rtl/>
              </w:rPr>
              <w:t xml:space="preserve"> לבטל אישור עורך דין מיוחד שניתן לפי חוק זה.</w:t>
            </w:r>
          </w:p>
        </w:tc>
      </w:tr>
      <w:tr w:rsidR="00146303" w:rsidRPr="001A0B66" w14:paraId="60BC0CA0" w14:textId="77777777" w:rsidTr="009240E9">
        <w:trPr>
          <w:cantSplit/>
          <w:trHeight w:val="60"/>
        </w:trPr>
        <w:tc>
          <w:tcPr>
            <w:tcW w:w="1367" w:type="dxa"/>
            <w:gridSpan w:val="2"/>
          </w:tcPr>
          <w:p w14:paraId="4F27E385" w14:textId="77777777" w:rsidR="00146303" w:rsidRPr="001A0B66" w:rsidRDefault="00EA55F2"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מינוי עורך דין מיוחד</w:t>
            </w:r>
          </w:p>
        </w:tc>
        <w:tc>
          <w:tcPr>
            <w:tcW w:w="624" w:type="dxa"/>
          </w:tcPr>
          <w:p w14:paraId="48504AB2" w14:textId="77777777" w:rsidR="00EA55F2" w:rsidRPr="001A0B66" w:rsidRDefault="00146303"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8.</w:t>
            </w:r>
            <w:r w:rsidR="00EA55F2" w:rsidRPr="001A0B66">
              <w:rPr>
                <w:rFonts w:ascii="FrankRuehl" w:hAnsi="FrankRuehl" w:cs="FrankRuehl"/>
                <w:sz w:val="28"/>
                <w:szCs w:val="28"/>
                <w:rtl/>
              </w:rPr>
              <w:t xml:space="preserve"> </w:t>
            </w:r>
          </w:p>
        </w:tc>
        <w:tc>
          <w:tcPr>
            <w:tcW w:w="6378" w:type="dxa"/>
            <w:gridSpan w:val="2"/>
          </w:tcPr>
          <w:p w14:paraId="4B4E5F49" w14:textId="77777777" w:rsidR="00EA55F2" w:rsidRPr="001A0B66" w:rsidRDefault="0001638C"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(א)</w:t>
            </w:r>
            <w:r w:rsidRPr="001A0B66">
              <w:rPr>
                <w:rFonts w:ascii="FrankRuehl" w:hAnsi="FrankRuehl" w:cs="FrankRuehl"/>
                <w:sz w:val="28"/>
                <w:szCs w:val="28"/>
                <w:rtl/>
              </w:rPr>
              <w:tab/>
            </w:r>
            <w:r w:rsidR="00EA55F2" w:rsidRPr="001A0B66">
              <w:rPr>
                <w:rFonts w:ascii="FrankRuehl" w:hAnsi="FrankRuehl" w:cs="FrankRuehl"/>
                <w:sz w:val="28"/>
                <w:szCs w:val="28"/>
                <w:rtl/>
              </w:rPr>
              <w:t xml:space="preserve">בהליך </w:t>
            </w:r>
            <w:r w:rsidR="00002C5D" w:rsidRPr="001A0B66">
              <w:rPr>
                <w:rFonts w:ascii="FrankRuehl" w:hAnsi="FrankRuehl" w:cs="FrankRuehl"/>
                <w:sz w:val="28"/>
                <w:szCs w:val="28"/>
                <w:rtl/>
              </w:rPr>
              <w:t xml:space="preserve">חסוי כהגדרתו בחוק זה </w:t>
            </w:r>
            <w:r w:rsidR="00EA55F2" w:rsidRPr="001A0B66">
              <w:rPr>
                <w:rFonts w:ascii="FrankRuehl" w:hAnsi="FrankRuehl" w:cs="FrankRuehl"/>
                <w:sz w:val="28"/>
                <w:szCs w:val="28"/>
                <w:rtl/>
              </w:rPr>
              <w:t>ת</w:t>
            </w:r>
            <w:r w:rsidR="00002C5D" w:rsidRPr="001A0B66">
              <w:rPr>
                <w:rFonts w:ascii="FrankRuehl" w:hAnsi="FrankRuehl" w:cs="FrankRuehl"/>
                <w:sz w:val="28"/>
                <w:szCs w:val="28"/>
                <w:rtl/>
              </w:rPr>
              <w:t>מסור</w:t>
            </w:r>
            <w:r w:rsidR="00EA55F2" w:rsidRPr="001A0B66">
              <w:rPr>
                <w:rFonts w:ascii="FrankRuehl" w:hAnsi="FrankRuehl" w:cs="FrankRuehl"/>
                <w:sz w:val="28"/>
                <w:szCs w:val="28"/>
                <w:rtl/>
              </w:rPr>
              <w:t xml:space="preserve"> התביעה</w:t>
            </w:r>
            <w:r w:rsidR="005A4A99" w:rsidRPr="001A0B66">
              <w:rPr>
                <w:rFonts w:ascii="FrankRuehl" w:hAnsi="FrankRuehl" w:cs="FrankRuehl"/>
                <w:sz w:val="28"/>
                <w:szCs w:val="28"/>
                <w:rtl/>
              </w:rPr>
              <w:t xml:space="preserve"> ללא דיחוי</w:t>
            </w:r>
            <w:r w:rsidR="00EA55F2" w:rsidRPr="001A0B66">
              <w:rPr>
                <w:rFonts w:ascii="FrankRuehl" w:hAnsi="FrankRuehl" w:cs="FrankRuehl"/>
                <w:sz w:val="28"/>
                <w:szCs w:val="28"/>
                <w:rtl/>
              </w:rPr>
              <w:t xml:space="preserve"> לאדם </w:t>
            </w:r>
            <w:r w:rsidR="005A4A99" w:rsidRPr="001A0B66">
              <w:rPr>
                <w:rFonts w:ascii="FrankRuehl" w:hAnsi="FrankRuehl" w:cs="FrankRuehl"/>
                <w:sz w:val="28"/>
                <w:szCs w:val="28"/>
                <w:rtl/>
              </w:rPr>
              <w:t xml:space="preserve">שנגדו </w:t>
            </w:r>
            <w:r w:rsidR="00EA55F2" w:rsidRPr="001A0B66">
              <w:rPr>
                <w:rFonts w:ascii="FrankRuehl" w:hAnsi="FrankRuehl" w:cs="FrankRuehl"/>
                <w:sz w:val="28"/>
                <w:szCs w:val="28"/>
                <w:rtl/>
              </w:rPr>
              <w:t>ננקט ההליך</w:t>
            </w:r>
            <w:r w:rsidR="00002C5D" w:rsidRPr="001A0B66">
              <w:rPr>
                <w:rFonts w:ascii="FrankRuehl" w:hAnsi="FrankRuehl" w:cs="FrankRuehl"/>
                <w:sz w:val="28"/>
                <w:szCs w:val="28"/>
                <w:rtl/>
              </w:rPr>
              <w:t xml:space="preserve"> </w:t>
            </w:r>
            <w:r w:rsidR="00EA55F2" w:rsidRPr="001A0B66">
              <w:rPr>
                <w:rFonts w:ascii="FrankRuehl" w:hAnsi="FrankRuehl" w:cs="FrankRuehl"/>
                <w:sz w:val="28"/>
                <w:szCs w:val="28"/>
                <w:rtl/>
              </w:rPr>
              <w:t>הודעה בכתב</w:t>
            </w:r>
            <w:r w:rsidR="00FE005B" w:rsidRPr="001A0B66">
              <w:rPr>
                <w:rFonts w:ascii="FrankRuehl" w:hAnsi="FrankRuehl" w:cs="FrankRuehl"/>
                <w:sz w:val="28"/>
                <w:szCs w:val="28"/>
                <w:rtl/>
              </w:rPr>
              <w:t xml:space="preserve">, בשפה </w:t>
            </w:r>
            <w:r w:rsidR="005A4A99" w:rsidRPr="001A0B66">
              <w:rPr>
                <w:rFonts w:ascii="FrankRuehl" w:hAnsi="FrankRuehl" w:cs="FrankRuehl"/>
                <w:sz w:val="28"/>
                <w:szCs w:val="28"/>
                <w:rtl/>
              </w:rPr>
              <w:t>ש</w:t>
            </w:r>
            <w:r w:rsidR="00AF5CAD" w:rsidRPr="001A0B66">
              <w:rPr>
                <w:rFonts w:ascii="FrankRuehl" w:hAnsi="FrankRuehl" w:cs="FrankRuehl"/>
                <w:sz w:val="28"/>
                <w:szCs w:val="28"/>
                <w:rtl/>
              </w:rPr>
              <w:t>אותה הוא קורא ו</w:t>
            </w:r>
            <w:r w:rsidR="00FE005B" w:rsidRPr="001A0B66">
              <w:rPr>
                <w:rFonts w:ascii="FrankRuehl" w:hAnsi="FrankRuehl" w:cs="FrankRuehl"/>
                <w:sz w:val="28"/>
                <w:szCs w:val="28"/>
                <w:rtl/>
              </w:rPr>
              <w:t>בה הוא שולט,</w:t>
            </w:r>
            <w:r w:rsidR="00EA55F2" w:rsidRPr="001A0B66">
              <w:rPr>
                <w:rFonts w:ascii="FrankRuehl" w:hAnsi="FrankRuehl" w:cs="FrankRuehl"/>
                <w:sz w:val="28"/>
                <w:szCs w:val="28"/>
                <w:rtl/>
              </w:rPr>
              <w:t xml:space="preserve"> על זכו</w:t>
            </w:r>
            <w:r w:rsidR="00FE005B" w:rsidRPr="001A0B66">
              <w:rPr>
                <w:rFonts w:ascii="FrankRuehl" w:hAnsi="FrankRuehl" w:cs="FrankRuehl"/>
                <w:sz w:val="28"/>
                <w:szCs w:val="28"/>
                <w:rtl/>
              </w:rPr>
              <w:t>תו</w:t>
            </w:r>
            <w:r w:rsidR="00EA55F2" w:rsidRPr="001A0B66">
              <w:rPr>
                <w:rFonts w:ascii="FrankRuehl" w:hAnsi="FrankRuehl" w:cs="FrankRuehl"/>
                <w:sz w:val="28"/>
                <w:szCs w:val="28"/>
                <w:rtl/>
              </w:rPr>
              <w:t xml:space="preserve"> למנות עורך דין מיוחד ועל זכאותו לעורך דין מיוחד ציבורי</w:t>
            </w:r>
            <w:r w:rsidR="00FE005B" w:rsidRPr="001A0B66">
              <w:rPr>
                <w:rFonts w:ascii="FrankRuehl" w:hAnsi="FrankRuehl" w:cs="FrankRuehl"/>
                <w:sz w:val="28"/>
                <w:szCs w:val="28"/>
                <w:rtl/>
              </w:rPr>
              <w:t>. אל ההודעה</w:t>
            </w:r>
            <w:r w:rsidR="00EA55F2" w:rsidRPr="001A0B66">
              <w:rPr>
                <w:rFonts w:ascii="FrankRuehl" w:hAnsi="FrankRuehl" w:cs="FrankRuehl"/>
                <w:sz w:val="28"/>
                <w:szCs w:val="28"/>
                <w:rtl/>
              </w:rPr>
              <w:t xml:space="preserve"> תצורף </w:t>
            </w:r>
            <w:r w:rsidR="00B10F1D" w:rsidRPr="001A0B66">
              <w:rPr>
                <w:rFonts w:ascii="FrankRuehl" w:hAnsi="FrankRuehl" w:cs="FrankRuehl"/>
                <w:sz w:val="28"/>
                <w:szCs w:val="28"/>
                <w:rtl/>
              </w:rPr>
              <w:t xml:space="preserve">גם </w:t>
            </w:r>
            <w:r w:rsidR="00EA55F2" w:rsidRPr="001A0B66">
              <w:rPr>
                <w:rFonts w:ascii="FrankRuehl" w:hAnsi="FrankRuehl" w:cs="FrankRuehl"/>
                <w:sz w:val="28"/>
                <w:szCs w:val="28"/>
                <w:rtl/>
              </w:rPr>
              <w:t>רשימ</w:t>
            </w:r>
            <w:r w:rsidR="00FE005B" w:rsidRPr="001A0B66">
              <w:rPr>
                <w:rFonts w:ascii="FrankRuehl" w:hAnsi="FrankRuehl" w:cs="FrankRuehl"/>
                <w:sz w:val="28"/>
                <w:szCs w:val="28"/>
                <w:rtl/>
              </w:rPr>
              <w:t xml:space="preserve">ת </w:t>
            </w:r>
            <w:r w:rsidR="00EA55F2" w:rsidRPr="001A0B66">
              <w:rPr>
                <w:rFonts w:ascii="FrankRuehl" w:hAnsi="FrankRuehl" w:cs="FrankRuehl"/>
                <w:sz w:val="28"/>
                <w:szCs w:val="28"/>
                <w:rtl/>
              </w:rPr>
              <w:t>עורכי דין מיוחדים</w:t>
            </w:r>
            <w:r w:rsidR="00FE005B" w:rsidRPr="001A0B66">
              <w:rPr>
                <w:rFonts w:ascii="FrankRuehl" w:hAnsi="FrankRuehl" w:cs="FrankRuehl"/>
                <w:sz w:val="28"/>
                <w:szCs w:val="28"/>
                <w:rtl/>
              </w:rPr>
              <w:t xml:space="preserve"> פרטיים</w:t>
            </w:r>
            <w:r w:rsidR="00EA55F2" w:rsidRPr="001A0B66">
              <w:rPr>
                <w:rFonts w:ascii="FrankRuehl" w:hAnsi="FrankRuehl" w:cs="FrankRuehl"/>
                <w:sz w:val="28"/>
                <w:szCs w:val="28"/>
                <w:rtl/>
              </w:rPr>
              <w:t xml:space="preserve"> שא</w:t>
            </w:r>
            <w:r w:rsidR="005A4A99" w:rsidRPr="001A0B66">
              <w:rPr>
                <w:rFonts w:ascii="FrankRuehl" w:hAnsi="FrankRuehl" w:cs="FrankRuehl"/>
                <w:sz w:val="28"/>
                <w:szCs w:val="28"/>
                <w:rtl/>
              </w:rPr>
              <w:t>י</w:t>
            </w:r>
            <w:r w:rsidR="00EA55F2" w:rsidRPr="001A0B66">
              <w:rPr>
                <w:rFonts w:ascii="FrankRuehl" w:hAnsi="FrankRuehl" w:cs="FrankRuehl"/>
                <w:sz w:val="28"/>
                <w:szCs w:val="28"/>
                <w:rtl/>
              </w:rPr>
              <w:t xml:space="preserve">שרה הוועדה. </w:t>
            </w:r>
          </w:p>
          <w:p w14:paraId="18AA5E72" w14:textId="77777777" w:rsidR="00EA55F2" w:rsidRPr="001A0B66" w:rsidRDefault="00EA55F2"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(ב)</w:t>
            </w:r>
            <w:r w:rsidR="0001638C" w:rsidRPr="001A0B66">
              <w:rPr>
                <w:rFonts w:ascii="FrankRuehl" w:hAnsi="FrankRuehl" w:cs="FrankRuehl"/>
                <w:sz w:val="28"/>
                <w:szCs w:val="28"/>
                <w:rtl/>
              </w:rPr>
              <w:t xml:space="preserve"> </w:t>
            </w:r>
            <w:r w:rsidR="0001638C" w:rsidRPr="001A0B66">
              <w:rPr>
                <w:rFonts w:ascii="FrankRuehl" w:hAnsi="FrankRuehl" w:cs="FrankRuehl"/>
                <w:sz w:val="28"/>
                <w:szCs w:val="28"/>
                <w:rtl/>
              </w:rPr>
              <w:tab/>
            </w:r>
            <w:r w:rsidR="00002C5D" w:rsidRPr="001A0B66">
              <w:rPr>
                <w:rFonts w:ascii="FrankRuehl" w:hAnsi="FrankRuehl" w:cs="FrankRuehl"/>
                <w:sz w:val="28"/>
                <w:szCs w:val="28"/>
                <w:rtl/>
              </w:rPr>
              <w:t xml:space="preserve">בחר האדם </w:t>
            </w:r>
            <w:r w:rsidR="005A4A99" w:rsidRPr="001A0B66">
              <w:rPr>
                <w:rFonts w:ascii="FrankRuehl" w:hAnsi="FrankRuehl" w:cs="FrankRuehl"/>
                <w:sz w:val="28"/>
                <w:szCs w:val="28"/>
                <w:rtl/>
              </w:rPr>
              <w:t xml:space="preserve">למנות </w:t>
            </w:r>
            <w:r w:rsidRPr="001A0B66">
              <w:rPr>
                <w:rFonts w:ascii="FrankRuehl" w:hAnsi="FrankRuehl" w:cs="FrankRuehl"/>
                <w:sz w:val="28"/>
                <w:szCs w:val="28"/>
                <w:rtl/>
              </w:rPr>
              <w:t>עורך דין מיוחד ציבורי</w:t>
            </w:r>
            <w:r w:rsidR="005A4A99" w:rsidRPr="001A0B66">
              <w:rPr>
                <w:rFonts w:ascii="FrankRuehl" w:hAnsi="FrankRuehl" w:cs="FrankRuehl"/>
                <w:sz w:val="28"/>
                <w:szCs w:val="28"/>
                <w:rtl/>
              </w:rPr>
              <w:t xml:space="preserve"> –</w:t>
            </w:r>
            <w:r w:rsidRPr="001A0B66">
              <w:rPr>
                <w:rFonts w:ascii="FrankRuehl" w:hAnsi="FrankRuehl" w:cs="FrankRuehl"/>
                <w:sz w:val="28"/>
                <w:szCs w:val="28"/>
                <w:rtl/>
              </w:rPr>
              <w:t xml:space="preserve"> ימנה המחוז המתאים בסנגוריה הציבורית עורך דין מיוחד מתוך הרשימה שא</w:t>
            </w:r>
            <w:r w:rsidR="005A4A99" w:rsidRPr="001A0B66">
              <w:rPr>
                <w:rFonts w:ascii="FrankRuehl" w:hAnsi="FrankRuehl" w:cs="FrankRuehl"/>
                <w:sz w:val="28"/>
                <w:szCs w:val="28"/>
                <w:rtl/>
              </w:rPr>
              <w:t>י</w:t>
            </w:r>
            <w:r w:rsidRPr="001A0B66">
              <w:rPr>
                <w:rFonts w:ascii="FrankRuehl" w:hAnsi="FrankRuehl" w:cs="FrankRuehl"/>
                <w:sz w:val="28"/>
                <w:szCs w:val="28"/>
                <w:rtl/>
              </w:rPr>
              <w:t>שרה הוועדה.</w:t>
            </w:r>
          </w:p>
          <w:p w14:paraId="5AF5F69B" w14:textId="77777777" w:rsidR="00002C5D" w:rsidRPr="001A0B66" w:rsidRDefault="00002C5D"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(ג)</w:t>
            </w:r>
            <w:r w:rsidR="0001638C" w:rsidRPr="001A0B66">
              <w:rPr>
                <w:rFonts w:ascii="FrankRuehl" w:hAnsi="FrankRuehl" w:cs="FrankRuehl"/>
                <w:sz w:val="28"/>
                <w:szCs w:val="28"/>
                <w:rtl/>
              </w:rPr>
              <w:t xml:space="preserve"> </w:t>
            </w:r>
            <w:r w:rsidR="0001638C" w:rsidRPr="001A0B66">
              <w:rPr>
                <w:rFonts w:ascii="FrankRuehl" w:hAnsi="FrankRuehl" w:cs="FrankRuehl"/>
                <w:sz w:val="28"/>
                <w:szCs w:val="28"/>
                <w:rtl/>
              </w:rPr>
              <w:tab/>
            </w:r>
            <w:r w:rsidRPr="001A0B66">
              <w:rPr>
                <w:rFonts w:ascii="FrankRuehl" w:hAnsi="FrankRuehl" w:cs="FrankRuehl"/>
                <w:sz w:val="28"/>
                <w:szCs w:val="28"/>
                <w:rtl/>
              </w:rPr>
              <w:t>בחר האדם בעורך דין מיוחד פרטי מתוך הרשימה</w:t>
            </w:r>
            <w:r w:rsidR="005A4A99" w:rsidRPr="001A0B66">
              <w:rPr>
                <w:rFonts w:ascii="FrankRuehl" w:hAnsi="FrankRuehl" w:cs="FrankRuehl"/>
                <w:sz w:val="28"/>
                <w:szCs w:val="28"/>
                <w:rtl/>
              </w:rPr>
              <w:t xml:space="preserve"> –</w:t>
            </w:r>
            <w:r w:rsidRPr="001A0B66">
              <w:rPr>
                <w:rFonts w:ascii="FrankRuehl" w:hAnsi="FrankRuehl" w:cs="FrankRuehl"/>
                <w:sz w:val="28"/>
                <w:szCs w:val="28"/>
                <w:rtl/>
              </w:rPr>
              <w:t xml:space="preserve"> ימנה בית המשפט את עורך הדין בהסכמתו.</w:t>
            </w:r>
          </w:p>
          <w:p w14:paraId="2902852E" w14:textId="77777777" w:rsidR="00146303" w:rsidRPr="001A0B66" w:rsidRDefault="00EA55F2"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w:t>
            </w:r>
            <w:r w:rsidR="00AF5CAD" w:rsidRPr="001A0B66">
              <w:rPr>
                <w:rFonts w:ascii="FrankRuehl" w:hAnsi="FrankRuehl" w:cs="FrankRuehl"/>
                <w:sz w:val="28"/>
                <w:szCs w:val="28"/>
                <w:rtl/>
              </w:rPr>
              <w:t>ד</w:t>
            </w:r>
            <w:r w:rsidRPr="001A0B66">
              <w:rPr>
                <w:rFonts w:ascii="FrankRuehl" w:hAnsi="FrankRuehl" w:cs="FrankRuehl"/>
                <w:sz w:val="28"/>
                <w:szCs w:val="28"/>
                <w:rtl/>
              </w:rPr>
              <w:t>)</w:t>
            </w:r>
            <w:r w:rsidR="0001638C" w:rsidRPr="001A0B66">
              <w:rPr>
                <w:rFonts w:ascii="FrankRuehl" w:hAnsi="FrankRuehl" w:cs="FrankRuehl"/>
                <w:sz w:val="28"/>
                <w:szCs w:val="28"/>
                <w:rtl/>
              </w:rPr>
              <w:t xml:space="preserve"> </w:t>
            </w:r>
            <w:r w:rsidR="0001638C" w:rsidRPr="001A0B66">
              <w:rPr>
                <w:rFonts w:ascii="FrankRuehl" w:hAnsi="FrankRuehl" w:cs="FrankRuehl"/>
                <w:sz w:val="28"/>
                <w:szCs w:val="28"/>
                <w:rtl/>
              </w:rPr>
              <w:tab/>
            </w:r>
            <w:r w:rsidRPr="001A0B66">
              <w:rPr>
                <w:rFonts w:ascii="FrankRuehl" w:hAnsi="FrankRuehl" w:cs="FrankRuehl"/>
                <w:sz w:val="28"/>
                <w:szCs w:val="28"/>
                <w:rtl/>
              </w:rPr>
              <w:t xml:space="preserve">נדרש מינוי עורך דין מיוחד ציבורי בהליכים שאינם בסמכות </w:t>
            </w:r>
            <w:r w:rsidR="00B10F1D" w:rsidRPr="001A0B66">
              <w:rPr>
                <w:rFonts w:ascii="FrankRuehl" w:hAnsi="FrankRuehl" w:cs="FrankRuehl"/>
                <w:sz w:val="28"/>
                <w:szCs w:val="28"/>
                <w:rtl/>
              </w:rPr>
              <w:t>ה</w:t>
            </w:r>
            <w:r w:rsidRPr="001A0B66">
              <w:rPr>
                <w:rFonts w:ascii="FrankRuehl" w:hAnsi="FrankRuehl" w:cs="FrankRuehl"/>
                <w:sz w:val="28"/>
                <w:szCs w:val="28"/>
                <w:rtl/>
              </w:rPr>
              <w:t>סנגוריה הציבורית</w:t>
            </w:r>
            <w:r w:rsidR="005A4A99" w:rsidRPr="001A0B66">
              <w:rPr>
                <w:rFonts w:ascii="FrankRuehl" w:hAnsi="FrankRuehl" w:cs="FrankRuehl"/>
                <w:sz w:val="28"/>
                <w:szCs w:val="28"/>
                <w:rtl/>
              </w:rPr>
              <w:t xml:space="preserve"> – </w:t>
            </w:r>
            <w:r w:rsidRPr="001A0B66">
              <w:rPr>
                <w:rFonts w:ascii="FrankRuehl" w:hAnsi="FrankRuehl" w:cs="FrankRuehl"/>
                <w:sz w:val="28"/>
                <w:szCs w:val="28"/>
                <w:rtl/>
              </w:rPr>
              <w:t>תמנה הלשכה</w:t>
            </w:r>
            <w:r w:rsidR="00F86220" w:rsidRPr="001A0B66">
              <w:rPr>
                <w:rFonts w:ascii="FrankRuehl" w:hAnsi="FrankRuehl" w:cs="FrankRuehl"/>
                <w:sz w:val="28"/>
                <w:szCs w:val="28"/>
                <w:rtl/>
              </w:rPr>
              <w:t xml:space="preserve"> </w:t>
            </w:r>
            <w:r w:rsidRPr="001A0B66">
              <w:rPr>
                <w:rFonts w:ascii="FrankRuehl" w:hAnsi="FrankRuehl" w:cs="FrankRuehl"/>
                <w:sz w:val="28"/>
                <w:szCs w:val="28"/>
                <w:rtl/>
              </w:rPr>
              <w:t>לסיוע משפטי שליד משרד המשפטים עורך דין מיוחד ציבורי מתוך הרשימה.</w:t>
            </w:r>
          </w:p>
        </w:tc>
      </w:tr>
      <w:tr w:rsidR="009240E9" w:rsidRPr="001A0B66" w14:paraId="5E23B530" w14:textId="77777777" w:rsidTr="009240E9">
        <w:trPr>
          <w:cantSplit/>
          <w:trHeight w:val="60"/>
        </w:trPr>
        <w:tc>
          <w:tcPr>
            <w:tcW w:w="1367" w:type="dxa"/>
            <w:gridSpan w:val="2"/>
          </w:tcPr>
          <w:p w14:paraId="293D4AF1" w14:textId="77777777" w:rsidR="009240E9" w:rsidRPr="001A0B66" w:rsidRDefault="009240E9"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ביצוע ותקנות</w:t>
            </w:r>
          </w:p>
        </w:tc>
        <w:tc>
          <w:tcPr>
            <w:tcW w:w="624" w:type="dxa"/>
          </w:tcPr>
          <w:p w14:paraId="2F70B9D9" w14:textId="77777777" w:rsidR="009240E9" w:rsidRPr="001A0B66" w:rsidRDefault="009240E9" w:rsidP="00F307FB">
            <w:pPr>
              <w:spacing w:line="276" w:lineRule="auto"/>
              <w:rPr>
                <w:rFonts w:ascii="FrankRuehl" w:hAnsi="FrankRuehl" w:cs="FrankRuehl"/>
                <w:sz w:val="28"/>
                <w:szCs w:val="28"/>
                <w:rtl/>
              </w:rPr>
            </w:pPr>
            <w:r w:rsidRPr="001A0B66">
              <w:rPr>
                <w:rFonts w:ascii="FrankRuehl" w:hAnsi="FrankRuehl" w:cs="FrankRuehl"/>
                <w:sz w:val="28"/>
                <w:szCs w:val="28"/>
                <w:rtl/>
              </w:rPr>
              <w:t xml:space="preserve">9. </w:t>
            </w:r>
          </w:p>
        </w:tc>
        <w:tc>
          <w:tcPr>
            <w:tcW w:w="6378" w:type="dxa"/>
            <w:gridSpan w:val="2"/>
          </w:tcPr>
          <w:p w14:paraId="12967973" w14:textId="77777777" w:rsidR="009240E9" w:rsidRPr="001A0B66" w:rsidRDefault="0001638C"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 xml:space="preserve">(א) </w:t>
            </w:r>
            <w:r w:rsidRPr="001A0B66">
              <w:rPr>
                <w:rFonts w:ascii="FrankRuehl" w:hAnsi="FrankRuehl" w:cs="FrankRuehl"/>
                <w:sz w:val="28"/>
                <w:szCs w:val="28"/>
                <w:rtl/>
              </w:rPr>
              <w:tab/>
            </w:r>
            <w:r w:rsidR="009240E9" w:rsidRPr="001A0B66">
              <w:rPr>
                <w:rFonts w:ascii="FrankRuehl" w:hAnsi="FrankRuehl" w:cs="FrankRuehl"/>
                <w:sz w:val="28"/>
                <w:szCs w:val="28"/>
                <w:rtl/>
              </w:rPr>
              <w:t>שר המשפטים ממונה על ביצוע חוק זה והוא רשאי, באישור ועדת החוקה, חוק ומשפט של הכנסת, להתקין תקנות בכל עני</w:t>
            </w:r>
            <w:r w:rsidR="005A4A99" w:rsidRPr="001A0B66">
              <w:rPr>
                <w:rFonts w:ascii="FrankRuehl" w:hAnsi="FrankRuehl" w:cs="FrankRuehl"/>
                <w:sz w:val="28"/>
                <w:szCs w:val="28"/>
                <w:rtl/>
              </w:rPr>
              <w:t>י</w:t>
            </w:r>
            <w:r w:rsidR="009240E9" w:rsidRPr="001A0B66">
              <w:rPr>
                <w:rFonts w:ascii="FrankRuehl" w:hAnsi="FrankRuehl" w:cs="FrankRuehl"/>
                <w:sz w:val="28"/>
                <w:szCs w:val="28"/>
                <w:rtl/>
              </w:rPr>
              <w:t>ן הנוגע לביצועו</w:t>
            </w:r>
            <w:r w:rsidR="009240E9" w:rsidRPr="001A0B66">
              <w:rPr>
                <w:rFonts w:ascii="FrankRuehl" w:hAnsi="FrankRuehl" w:cs="FrankRuehl"/>
                <w:sz w:val="28"/>
                <w:szCs w:val="28"/>
              </w:rPr>
              <w:t>.</w:t>
            </w:r>
            <w:r w:rsidR="009240E9" w:rsidRPr="001A0B66">
              <w:rPr>
                <w:rFonts w:ascii="FrankRuehl" w:hAnsi="FrankRuehl" w:cs="FrankRuehl"/>
                <w:sz w:val="28"/>
                <w:szCs w:val="28"/>
                <w:rtl/>
              </w:rPr>
              <w:t xml:space="preserve"> </w:t>
            </w:r>
          </w:p>
          <w:p w14:paraId="31BDEC6C" w14:textId="77777777" w:rsidR="009240E9" w:rsidRPr="001A0B66" w:rsidRDefault="009240E9" w:rsidP="00F307FB">
            <w:pPr>
              <w:spacing w:line="276" w:lineRule="auto"/>
              <w:ind w:left="567" w:hanging="567"/>
              <w:rPr>
                <w:rFonts w:ascii="FrankRuehl" w:hAnsi="FrankRuehl" w:cs="FrankRuehl"/>
                <w:sz w:val="28"/>
                <w:szCs w:val="28"/>
                <w:rtl/>
              </w:rPr>
            </w:pPr>
            <w:r w:rsidRPr="001A0B66">
              <w:rPr>
                <w:rFonts w:ascii="FrankRuehl" w:hAnsi="FrankRuehl" w:cs="FrankRuehl"/>
                <w:sz w:val="28"/>
                <w:szCs w:val="28"/>
                <w:rtl/>
              </w:rPr>
              <w:t>(ב)</w:t>
            </w:r>
            <w:r w:rsidR="0001638C" w:rsidRPr="001A0B66">
              <w:rPr>
                <w:rFonts w:ascii="FrankRuehl" w:hAnsi="FrankRuehl" w:cs="FrankRuehl"/>
                <w:sz w:val="28"/>
                <w:szCs w:val="28"/>
                <w:rtl/>
              </w:rPr>
              <w:t xml:space="preserve"> </w:t>
            </w:r>
            <w:r w:rsidR="0001638C" w:rsidRPr="001A0B66">
              <w:rPr>
                <w:rFonts w:ascii="FrankRuehl" w:hAnsi="FrankRuehl" w:cs="FrankRuehl"/>
                <w:sz w:val="28"/>
                <w:szCs w:val="28"/>
                <w:rtl/>
              </w:rPr>
              <w:tab/>
            </w:r>
            <w:r w:rsidRPr="001A0B66">
              <w:rPr>
                <w:rFonts w:ascii="FrankRuehl" w:hAnsi="FrankRuehl" w:cs="FrankRuehl"/>
                <w:sz w:val="28"/>
                <w:szCs w:val="28"/>
                <w:rtl/>
              </w:rPr>
              <w:t>שר המשפטים יכריז בצו על פי חוק הסיוע המשפטי על זכאותם לייצוג של הנתונים להליכים חסויים שאינם בסמכות הסנגוריה הציבורית.</w:t>
            </w:r>
          </w:p>
        </w:tc>
      </w:tr>
      <w:tr w:rsidR="00146303" w:rsidRPr="001A0B66" w14:paraId="56807DFB" w14:textId="77777777" w:rsidTr="009240E9">
        <w:trPr>
          <w:cantSplit/>
          <w:trHeight w:val="60"/>
        </w:trPr>
        <w:tc>
          <w:tcPr>
            <w:tcW w:w="1367" w:type="dxa"/>
            <w:gridSpan w:val="2"/>
          </w:tcPr>
          <w:p w14:paraId="1AEAD6FE" w14:textId="77777777" w:rsidR="00146303" w:rsidRPr="001A0B66" w:rsidRDefault="00146303" w:rsidP="00F307FB">
            <w:pPr>
              <w:spacing w:line="276" w:lineRule="auto"/>
              <w:jc w:val="left"/>
              <w:rPr>
                <w:rFonts w:ascii="FrankRuehl" w:hAnsi="FrankRuehl" w:cs="FrankRuehl"/>
                <w:b/>
                <w:bCs/>
                <w:sz w:val="28"/>
                <w:szCs w:val="28"/>
              </w:rPr>
            </w:pPr>
            <w:r w:rsidRPr="001A0B66">
              <w:rPr>
                <w:rFonts w:ascii="FrankRuehl" w:hAnsi="FrankRuehl" w:cs="FrankRuehl"/>
                <w:b/>
                <w:bCs/>
                <w:sz w:val="28"/>
                <w:szCs w:val="28"/>
                <w:rtl/>
              </w:rPr>
              <w:t>עונשין</w:t>
            </w:r>
          </w:p>
        </w:tc>
        <w:tc>
          <w:tcPr>
            <w:tcW w:w="624" w:type="dxa"/>
          </w:tcPr>
          <w:p w14:paraId="3E469EF9" w14:textId="77777777" w:rsidR="00146303" w:rsidRPr="001A0B66" w:rsidRDefault="00EA55F2" w:rsidP="00F307FB">
            <w:pPr>
              <w:spacing w:line="276" w:lineRule="auto"/>
              <w:rPr>
                <w:rFonts w:ascii="FrankRuehl" w:hAnsi="FrankRuehl" w:cs="FrankRuehl"/>
                <w:sz w:val="28"/>
                <w:szCs w:val="28"/>
              </w:rPr>
            </w:pPr>
            <w:r w:rsidRPr="001A0B66">
              <w:rPr>
                <w:rFonts w:ascii="FrankRuehl" w:hAnsi="FrankRuehl" w:cs="FrankRuehl"/>
                <w:sz w:val="28"/>
                <w:szCs w:val="28"/>
                <w:rtl/>
              </w:rPr>
              <w:t>10</w:t>
            </w:r>
            <w:r w:rsidR="00146303" w:rsidRPr="001A0B66">
              <w:rPr>
                <w:rFonts w:ascii="FrankRuehl" w:hAnsi="FrankRuehl" w:cs="FrankRuehl"/>
                <w:sz w:val="28"/>
                <w:szCs w:val="28"/>
                <w:rtl/>
              </w:rPr>
              <w:t xml:space="preserve">. </w:t>
            </w:r>
          </w:p>
        </w:tc>
        <w:tc>
          <w:tcPr>
            <w:tcW w:w="6378" w:type="dxa"/>
            <w:gridSpan w:val="2"/>
          </w:tcPr>
          <w:p w14:paraId="364D81FC" w14:textId="77777777" w:rsidR="00146303"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העובר עבירה לפי סעיף (4)(ד) או (ו) דינו – מאסר שלוש שנים.</w:t>
            </w:r>
          </w:p>
        </w:tc>
      </w:tr>
      <w:tr w:rsidR="00146303" w:rsidRPr="001A0B66" w14:paraId="747E703B" w14:textId="77777777" w:rsidTr="009240E9">
        <w:trPr>
          <w:cantSplit/>
          <w:trHeight w:val="60"/>
        </w:trPr>
        <w:tc>
          <w:tcPr>
            <w:tcW w:w="1367" w:type="dxa"/>
            <w:gridSpan w:val="2"/>
          </w:tcPr>
          <w:p w14:paraId="1A6DF36F" w14:textId="77777777" w:rsidR="00EA55F2" w:rsidRPr="001A0B66" w:rsidRDefault="00146303"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 xml:space="preserve">שמירת </w:t>
            </w:r>
            <w:r w:rsidR="009240E9" w:rsidRPr="001A0B66">
              <w:rPr>
                <w:rFonts w:ascii="FrankRuehl" w:hAnsi="FrankRuehl" w:cs="FrankRuehl"/>
                <w:b/>
                <w:bCs/>
                <w:sz w:val="28"/>
                <w:szCs w:val="28"/>
                <w:rtl/>
              </w:rPr>
              <w:br/>
            </w:r>
            <w:r w:rsidRPr="001A0B66">
              <w:rPr>
                <w:rFonts w:ascii="FrankRuehl" w:hAnsi="FrankRuehl" w:cs="FrankRuehl"/>
                <w:b/>
                <w:bCs/>
                <w:sz w:val="28"/>
                <w:szCs w:val="28"/>
                <w:rtl/>
              </w:rPr>
              <w:t>זכויות</w:t>
            </w:r>
          </w:p>
        </w:tc>
        <w:tc>
          <w:tcPr>
            <w:tcW w:w="624" w:type="dxa"/>
          </w:tcPr>
          <w:p w14:paraId="0720965C" w14:textId="77777777" w:rsidR="00146303" w:rsidRPr="001A0B66" w:rsidRDefault="00EA55F2" w:rsidP="00F307FB">
            <w:pPr>
              <w:spacing w:line="276" w:lineRule="auto"/>
              <w:rPr>
                <w:rFonts w:ascii="FrankRuehl" w:hAnsi="FrankRuehl" w:cs="FrankRuehl"/>
                <w:sz w:val="28"/>
                <w:szCs w:val="28"/>
                <w:rtl/>
              </w:rPr>
            </w:pPr>
            <w:r w:rsidRPr="001A0B66">
              <w:rPr>
                <w:rFonts w:ascii="FrankRuehl" w:hAnsi="FrankRuehl" w:cs="FrankRuehl"/>
                <w:sz w:val="28"/>
                <w:szCs w:val="28"/>
                <w:rtl/>
              </w:rPr>
              <w:t>11</w:t>
            </w:r>
            <w:r w:rsidR="00146303" w:rsidRPr="001A0B66">
              <w:rPr>
                <w:rFonts w:ascii="FrankRuehl" w:hAnsi="FrankRuehl" w:cs="FrankRuehl"/>
                <w:sz w:val="28"/>
                <w:szCs w:val="28"/>
                <w:rtl/>
              </w:rPr>
              <w:t>.</w:t>
            </w:r>
          </w:p>
        </w:tc>
        <w:tc>
          <w:tcPr>
            <w:tcW w:w="6378" w:type="dxa"/>
            <w:gridSpan w:val="2"/>
          </w:tcPr>
          <w:p w14:paraId="08350145" w14:textId="77777777" w:rsidR="001911C5" w:rsidRPr="001A0B66" w:rsidRDefault="00146303" w:rsidP="00F307FB">
            <w:pPr>
              <w:spacing w:line="276" w:lineRule="auto"/>
              <w:rPr>
                <w:rFonts w:ascii="FrankRuehl" w:hAnsi="FrankRuehl" w:cs="FrankRuehl"/>
                <w:sz w:val="28"/>
                <w:szCs w:val="28"/>
                <w:rtl/>
              </w:rPr>
            </w:pPr>
            <w:r w:rsidRPr="001A0B66">
              <w:rPr>
                <w:rFonts w:ascii="FrankRuehl" w:hAnsi="FrankRuehl" w:cs="FrankRuehl"/>
                <w:sz w:val="28"/>
                <w:szCs w:val="28"/>
                <w:rtl/>
              </w:rPr>
              <w:t>אין באמור בחוק זה כדי לפגוע בזכויות האדם שנגדו ננקט ההליך החסוי לכ</w:t>
            </w:r>
            <w:r w:rsidR="008C38E8" w:rsidRPr="001A0B66">
              <w:rPr>
                <w:rFonts w:ascii="FrankRuehl" w:hAnsi="FrankRuehl" w:cs="FrankRuehl"/>
                <w:sz w:val="28"/>
                <w:szCs w:val="28"/>
                <w:rtl/>
              </w:rPr>
              <w:t>ל הליך או לכל טענה, לרבות זכותו להתנגד לעצם קיומו של ההליך החסוי.</w:t>
            </w:r>
          </w:p>
        </w:tc>
      </w:tr>
      <w:tr w:rsidR="009240E9" w:rsidRPr="00734054" w14:paraId="222BD57A" w14:textId="77777777" w:rsidTr="009240E9">
        <w:trPr>
          <w:cantSplit/>
          <w:trHeight w:val="60"/>
        </w:trPr>
        <w:tc>
          <w:tcPr>
            <w:tcW w:w="1367" w:type="dxa"/>
            <w:gridSpan w:val="2"/>
          </w:tcPr>
          <w:p w14:paraId="31A4822B" w14:textId="77777777" w:rsidR="009240E9" w:rsidRPr="001A0B66" w:rsidRDefault="009240E9" w:rsidP="00F307FB">
            <w:pPr>
              <w:spacing w:line="276" w:lineRule="auto"/>
              <w:jc w:val="left"/>
              <w:rPr>
                <w:rFonts w:ascii="FrankRuehl" w:hAnsi="FrankRuehl" w:cs="FrankRuehl"/>
                <w:b/>
                <w:bCs/>
                <w:sz w:val="28"/>
                <w:szCs w:val="28"/>
                <w:rtl/>
              </w:rPr>
            </w:pPr>
            <w:r w:rsidRPr="001A0B66">
              <w:rPr>
                <w:rFonts w:ascii="FrankRuehl" w:hAnsi="FrankRuehl" w:cs="FrankRuehl"/>
                <w:b/>
                <w:bCs/>
                <w:sz w:val="28"/>
                <w:szCs w:val="28"/>
                <w:rtl/>
              </w:rPr>
              <w:t xml:space="preserve">תיקוני </w:t>
            </w:r>
            <w:r w:rsidRPr="001A0B66">
              <w:rPr>
                <w:rFonts w:ascii="FrankRuehl" w:hAnsi="FrankRuehl" w:cs="FrankRuehl"/>
                <w:b/>
                <w:bCs/>
                <w:sz w:val="28"/>
                <w:szCs w:val="28"/>
                <w:rtl/>
              </w:rPr>
              <w:br/>
              <w:t>חקיקה</w:t>
            </w:r>
          </w:p>
        </w:tc>
        <w:tc>
          <w:tcPr>
            <w:tcW w:w="624" w:type="dxa"/>
          </w:tcPr>
          <w:p w14:paraId="0F22737B" w14:textId="77777777" w:rsidR="009240E9" w:rsidRPr="001A0B66" w:rsidRDefault="009240E9" w:rsidP="00F307FB">
            <w:pPr>
              <w:spacing w:line="276" w:lineRule="auto"/>
              <w:rPr>
                <w:rFonts w:ascii="FrankRuehl" w:hAnsi="FrankRuehl" w:cs="FrankRuehl"/>
                <w:sz w:val="28"/>
                <w:szCs w:val="28"/>
                <w:rtl/>
              </w:rPr>
            </w:pPr>
            <w:r w:rsidRPr="001A0B66">
              <w:rPr>
                <w:rFonts w:ascii="FrankRuehl" w:hAnsi="FrankRuehl" w:cs="FrankRuehl"/>
                <w:sz w:val="28"/>
                <w:szCs w:val="28"/>
                <w:rtl/>
              </w:rPr>
              <w:t>12.</w:t>
            </w:r>
          </w:p>
        </w:tc>
        <w:tc>
          <w:tcPr>
            <w:tcW w:w="6378" w:type="dxa"/>
            <w:gridSpan w:val="2"/>
          </w:tcPr>
          <w:p w14:paraId="37B4F094" w14:textId="77777777" w:rsidR="009240E9" w:rsidRPr="001A0B66" w:rsidRDefault="009240E9" w:rsidP="00F307FB">
            <w:pPr>
              <w:spacing w:line="276" w:lineRule="auto"/>
              <w:rPr>
                <w:rFonts w:ascii="FrankRuehl" w:hAnsi="FrankRuehl" w:cs="FrankRuehl"/>
                <w:sz w:val="28"/>
                <w:szCs w:val="28"/>
                <w:rtl/>
              </w:rPr>
            </w:pPr>
            <w:r w:rsidRPr="001A0B66">
              <w:rPr>
                <w:rFonts w:ascii="FrankRuehl" w:hAnsi="FrankRuehl" w:cs="FrankRuehl"/>
                <w:sz w:val="28"/>
                <w:szCs w:val="28"/>
                <w:rtl/>
              </w:rPr>
              <w:t>בחוק הסנגוריה הציבורית יתווסף סעיף 18(א2):</w:t>
            </w:r>
          </w:p>
          <w:p w14:paraId="337E2EC4" w14:textId="77777777" w:rsidR="009240E9" w:rsidRPr="00734054" w:rsidRDefault="009240E9" w:rsidP="00F307FB">
            <w:pPr>
              <w:spacing w:line="276" w:lineRule="auto"/>
              <w:rPr>
                <w:rFonts w:ascii="FrankRuehl" w:hAnsi="FrankRuehl" w:cs="FrankRuehl"/>
                <w:sz w:val="28"/>
                <w:szCs w:val="28"/>
                <w:rtl/>
              </w:rPr>
            </w:pPr>
            <w:r w:rsidRPr="001A0B66">
              <w:rPr>
                <w:rFonts w:ascii="FrankRuehl" w:hAnsi="FrankRuehl" w:cs="FrankRuehl"/>
                <w:sz w:val="28"/>
                <w:szCs w:val="28"/>
                <w:rtl/>
              </w:rPr>
              <w:t>"זכאי לייצוג לפי חוק זה מי שנתון להליך חסוי כהגדרתו בחוק עורכי דין מיוחדים".</w:t>
            </w:r>
          </w:p>
          <w:p w14:paraId="0AD4D63F" w14:textId="77777777" w:rsidR="009240E9" w:rsidRPr="00734054" w:rsidRDefault="009240E9" w:rsidP="00F307FB">
            <w:pPr>
              <w:spacing w:line="276" w:lineRule="auto"/>
              <w:rPr>
                <w:rFonts w:ascii="FrankRuehl" w:hAnsi="FrankRuehl" w:cs="FrankRuehl"/>
                <w:sz w:val="28"/>
                <w:szCs w:val="28"/>
                <w:rtl/>
              </w:rPr>
            </w:pPr>
          </w:p>
        </w:tc>
      </w:tr>
    </w:tbl>
    <w:p w14:paraId="06A971B4" w14:textId="77777777" w:rsidR="002725DB" w:rsidRPr="002725DB" w:rsidRDefault="002725DB" w:rsidP="00A72FC1">
      <w:pPr>
        <w:spacing w:line="276" w:lineRule="auto"/>
        <w:rPr>
          <w:rFonts w:ascii="FrankRuehl" w:hAnsi="FrankRuehl" w:cs="FrankRuehl"/>
          <w:sz w:val="28"/>
          <w:szCs w:val="28"/>
        </w:rPr>
      </w:pPr>
    </w:p>
    <w:sectPr w:rsidR="002725DB" w:rsidRPr="002725DB" w:rsidSect="009C4551">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19B5" w14:textId="77777777" w:rsidR="00940CC7" w:rsidRDefault="00940CC7" w:rsidP="00417973">
      <w:pPr>
        <w:spacing w:after="0" w:line="240" w:lineRule="auto"/>
      </w:pPr>
      <w:r>
        <w:separator/>
      </w:r>
    </w:p>
  </w:endnote>
  <w:endnote w:type="continuationSeparator" w:id="0">
    <w:p w14:paraId="5F61AE0B" w14:textId="77777777" w:rsidR="00940CC7" w:rsidRDefault="00940CC7" w:rsidP="0041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2BC1" w14:textId="77777777" w:rsidR="0091227C" w:rsidRPr="00275C93" w:rsidRDefault="0091227C" w:rsidP="00275C93">
    <w:pPr>
      <w:pStyle w:val="Footer"/>
      <w:jc w:val="right"/>
      <w:rPr>
        <w:rFonts w:ascii="David" w:hAnsi="David"/>
      </w:rPr>
    </w:pPr>
    <w:r w:rsidRPr="00275C93">
      <w:rPr>
        <w:rFonts w:ascii="David" w:hAnsi="David"/>
      </w:rPr>
      <w:fldChar w:fldCharType="begin"/>
    </w:r>
    <w:r w:rsidRPr="00275C93">
      <w:rPr>
        <w:rFonts w:ascii="David" w:hAnsi="David"/>
      </w:rPr>
      <w:instrText xml:space="preserve"> PAGE   \* MERGEFORMAT </w:instrText>
    </w:r>
    <w:r w:rsidRPr="00275C93">
      <w:rPr>
        <w:rFonts w:ascii="David" w:hAnsi="David"/>
      </w:rPr>
      <w:fldChar w:fldCharType="separate"/>
    </w:r>
    <w:r>
      <w:rPr>
        <w:rFonts w:ascii="David" w:hAnsi="David"/>
        <w:noProof/>
        <w:rtl/>
      </w:rPr>
      <w:t>1</w:t>
    </w:r>
    <w:r w:rsidRPr="00275C93">
      <w:rPr>
        <w:rFonts w:ascii="David" w:hAnsi="David"/>
      </w:rPr>
      <w:fldChar w:fldCharType="end"/>
    </w:r>
  </w:p>
  <w:p w14:paraId="0ECA3ED1" w14:textId="77777777" w:rsidR="0091227C" w:rsidRDefault="0091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70D3" w14:textId="77777777" w:rsidR="00940CC7" w:rsidRDefault="00940CC7" w:rsidP="00A306EA">
      <w:pPr>
        <w:spacing w:after="0" w:line="240" w:lineRule="auto"/>
      </w:pPr>
      <w:r>
        <w:separator/>
      </w:r>
    </w:p>
  </w:footnote>
  <w:footnote w:type="continuationSeparator" w:id="0">
    <w:p w14:paraId="2870F91F" w14:textId="77777777" w:rsidR="00940CC7" w:rsidRDefault="00940CC7" w:rsidP="00417973">
      <w:pPr>
        <w:spacing w:after="0" w:line="240" w:lineRule="auto"/>
      </w:pPr>
      <w:r>
        <w:continuationSeparator/>
      </w:r>
    </w:p>
  </w:footnote>
  <w:footnote w:id="1">
    <w:p w14:paraId="55605D28" w14:textId="77777777" w:rsidR="0019600D" w:rsidRDefault="0091227C" w:rsidP="00E157D9">
      <w:pPr>
        <w:pStyle w:val="a"/>
        <w:spacing w:after="60"/>
      </w:pPr>
      <w:r w:rsidRPr="001A0B66">
        <w:rPr>
          <w:rStyle w:val="FootnoteReference"/>
          <w:rFonts w:cs="David"/>
          <w:rtl/>
        </w:rPr>
        <w:t>*</w:t>
      </w:r>
      <w:r w:rsidRPr="001A0B66">
        <w:rPr>
          <w:rtl/>
        </w:rPr>
        <w:t xml:space="preserve"> </w:t>
      </w:r>
      <w:r w:rsidRPr="001A0B66">
        <w:rPr>
          <w:rtl/>
        </w:rPr>
        <w:tab/>
        <w:t xml:space="preserve">הפקולטה למשפטים, אוניברסיטת חיפה. המאמר הוא פרי עבודה משותפת של משתתפים בקליניקה לזכויות המיעוט הערבי-פלסטיני. </w:t>
      </w:r>
      <w:bookmarkStart w:id="1" w:name="_Hlk20130438"/>
      <w:r w:rsidRPr="001A0B66">
        <w:rPr>
          <w:rtl/>
        </w:rPr>
        <w:t>לעבודה זו הצטרפה סמדר</w:t>
      </w:r>
      <w:bookmarkEnd w:id="1"/>
      <w:r w:rsidRPr="001A0B66">
        <w:rPr>
          <w:rtl/>
        </w:rPr>
        <w:t xml:space="preserve"> בן-נתן ככותבת שותפה, ושני הכותבים העיקריים הם בן-נתן וסבן. זכינו להערות חשובות</w:t>
      </w:r>
      <w:r w:rsidR="00B538A7">
        <w:rPr>
          <w:rtl/>
        </w:rPr>
        <w:t xml:space="preserve"> מאד</w:t>
      </w:r>
      <w:r w:rsidRPr="001A0B66">
        <w:rPr>
          <w:rtl/>
        </w:rPr>
        <w:t xml:space="preserve">, ואנו מבקשים להודות עליהן בחום למערכת כתב העת וכן לאורנה </w:t>
      </w:r>
      <w:proofErr w:type="spellStart"/>
      <w:r w:rsidRPr="001A0B66">
        <w:rPr>
          <w:rtl/>
        </w:rPr>
        <w:t>אליגון</w:t>
      </w:r>
      <w:proofErr w:type="spellEnd"/>
      <w:r w:rsidRPr="001A0B66">
        <w:rPr>
          <w:rtl/>
        </w:rPr>
        <w:t xml:space="preserve">-דר, </w:t>
      </w:r>
      <w:proofErr w:type="spellStart"/>
      <w:r w:rsidRPr="001A0B66">
        <w:rPr>
          <w:rtl/>
        </w:rPr>
        <w:t>ג'ואד</w:t>
      </w:r>
      <w:proofErr w:type="spellEnd"/>
      <w:r w:rsidRPr="001A0B66">
        <w:rPr>
          <w:rtl/>
        </w:rPr>
        <w:t xml:space="preserve"> </w:t>
      </w:r>
      <w:proofErr w:type="spellStart"/>
      <w:r w:rsidRPr="001A0B66">
        <w:rPr>
          <w:rtl/>
        </w:rPr>
        <w:t>בולוס</w:t>
      </w:r>
      <w:proofErr w:type="spellEnd"/>
      <w:r w:rsidRPr="001A0B66">
        <w:rPr>
          <w:rtl/>
        </w:rPr>
        <w:t xml:space="preserve">, דנה </w:t>
      </w:r>
      <w:proofErr w:type="spellStart"/>
      <w:r w:rsidRPr="001A0B66">
        <w:rPr>
          <w:rtl/>
        </w:rPr>
        <w:t>בולוס</w:t>
      </w:r>
      <w:proofErr w:type="spellEnd"/>
      <w:r w:rsidRPr="001A0B66">
        <w:rPr>
          <w:rtl/>
        </w:rPr>
        <w:t xml:space="preserve">, חסן </w:t>
      </w:r>
      <w:proofErr w:type="spellStart"/>
      <w:r w:rsidRPr="001A0B66">
        <w:rPr>
          <w:rtl/>
        </w:rPr>
        <w:t>ג'בארין</w:t>
      </w:r>
      <w:proofErr w:type="spellEnd"/>
      <w:r w:rsidRPr="001A0B66">
        <w:rPr>
          <w:rtl/>
        </w:rPr>
        <w:t xml:space="preserve">, נילי גור-אריה, דן יקיר, חגית </w:t>
      </w:r>
      <w:proofErr w:type="spellStart"/>
      <w:r w:rsidRPr="001A0B66">
        <w:rPr>
          <w:rtl/>
        </w:rPr>
        <w:t>לרנאו</w:t>
      </w:r>
      <w:proofErr w:type="spellEnd"/>
      <w:r w:rsidRPr="001A0B66">
        <w:rPr>
          <w:rtl/>
        </w:rPr>
        <w:t xml:space="preserve">, ברק מדינה, קנת מן, לילה מרגלית, מיכאל ספרד והרן רייכמן. תודה מיוחדת שלוחה </w:t>
      </w:r>
      <w:proofErr w:type="spellStart"/>
      <w:r w:rsidRPr="001A0B66">
        <w:rPr>
          <w:rtl/>
        </w:rPr>
        <w:t>לויסאם</w:t>
      </w:r>
      <w:proofErr w:type="spellEnd"/>
      <w:r w:rsidRPr="001A0B66">
        <w:rPr>
          <w:rtl/>
        </w:rPr>
        <w:t xml:space="preserve"> שרף. עצות וסיוע אינם שקולים להסכמה לאשר מובע במאמר.</w:t>
      </w:r>
    </w:p>
  </w:footnote>
  <w:footnote w:id="2">
    <w:p w14:paraId="6CE2AF14" w14:textId="77777777" w:rsidR="0019600D" w:rsidRDefault="0091227C" w:rsidP="00E157D9">
      <w:pPr>
        <w:pStyle w:val="FootnoteText"/>
        <w:spacing w:after="60"/>
      </w:pPr>
      <w:r w:rsidRPr="001A0B66">
        <w:rPr>
          <w:rStyle w:val="FootnoteReference"/>
          <w:rFonts w:cs="David"/>
          <w:sz w:val="18"/>
        </w:rPr>
        <w:footnoteRef/>
      </w:r>
      <w:r w:rsidRPr="001A0B66">
        <w:rPr>
          <w:rStyle w:val="FootnoteReference"/>
          <w:rFonts w:cs="David"/>
          <w:sz w:val="18"/>
          <w:rtl/>
        </w:rPr>
        <w:tab/>
      </w:r>
      <w:bookmarkStart w:id="3" w:name="casename_body"/>
      <w:proofErr w:type="spellStart"/>
      <w:r w:rsidRPr="001A0B66">
        <w:rPr>
          <w:sz w:val="18"/>
          <w:rtl/>
        </w:rPr>
        <w:t>עע"ם</w:t>
      </w:r>
      <w:proofErr w:type="spellEnd"/>
      <w:r w:rsidRPr="001A0B66">
        <w:rPr>
          <w:sz w:val="18"/>
          <w:rtl/>
        </w:rPr>
        <w:t xml:space="preserve"> 1038/08</w:t>
      </w:r>
      <w:bookmarkEnd w:id="3"/>
      <w:r w:rsidRPr="001A0B66">
        <w:rPr>
          <w:sz w:val="18"/>
          <w:rtl/>
        </w:rPr>
        <w:t xml:space="preserve"> </w:t>
      </w:r>
      <w:r w:rsidRPr="001A0B66">
        <w:rPr>
          <w:b/>
          <w:bCs/>
          <w:sz w:val="18"/>
          <w:rtl/>
        </w:rPr>
        <w:t xml:space="preserve">מדינת ישראל נ' </w:t>
      </w:r>
      <w:proofErr w:type="spellStart"/>
      <w:r w:rsidRPr="001A0B66">
        <w:rPr>
          <w:b/>
          <w:bCs/>
          <w:sz w:val="18"/>
          <w:rtl/>
        </w:rPr>
        <w:t>געאביץ</w:t>
      </w:r>
      <w:proofErr w:type="spellEnd"/>
      <w:r w:rsidRPr="001A0B66">
        <w:rPr>
          <w:sz w:val="18"/>
          <w:rtl/>
        </w:rPr>
        <w:t>, עמ' 22, פסק דינה של הנשיאה ביניש (פורסם בנבו, 11.8.2009); גם השופט מלצר הביע שם את תמיכתו בהסדר של עורכי דין מיוחדים.</w:t>
      </w:r>
    </w:p>
  </w:footnote>
  <w:footnote w:id="3">
    <w:p w14:paraId="4F639384" w14:textId="363A9A95"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תיאור תמציתי של נתיב זה: "גם במערכת המשפט הפלילי ניתן לעצור אנשים על בסיס חומר חסוי לשם מניעת סכנה עתידית (בטרם הוגש כתב אישום), אלא שאפשרות זו מוגבלת בזמן, לשלושים יום. במקרים חריגים ניתן להאריך מעצר כזה לארבעים יום או אפילו לשלושה חודשים, אך מרגע מסוים לא ניתן להאריך מעצר כזה יותר, ללא הגשת כתב אישום. הרגע הזה, שבו חובה לשחרר את העצור, ללא קשר לכמות החומר המודיעיני שיש לגביו, הוא שמשנה את התמונה כולה. רגע שבו החוק לא מותיר שיקול דעת בידי הרשות השופטת או</w:t>
      </w:r>
      <w:r w:rsidRPr="001A0B66">
        <w:rPr>
          <w:sz w:val="18"/>
        </w:rPr>
        <w:t xml:space="preserve"> </w:t>
      </w:r>
      <w:r w:rsidRPr="001A0B66">
        <w:rPr>
          <w:sz w:val="18"/>
          <w:rtl/>
        </w:rPr>
        <w:t>המבצעת"; סמדר בן-נתן, "בחזרה</w:t>
      </w:r>
      <w:r w:rsidRPr="001A0B66">
        <w:rPr>
          <w:sz w:val="18"/>
        </w:rPr>
        <w:t xml:space="preserve"> </w:t>
      </w:r>
      <w:r w:rsidRPr="001A0B66">
        <w:rPr>
          <w:sz w:val="18"/>
          <w:rtl/>
        </w:rPr>
        <w:t>לעתיד: מחשבות על עת"א (</w:t>
      </w:r>
      <w:proofErr w:type="spellStart"/>
      <w:r w:rsidRPr="001A0B66">
        <w:rPr>
          <w:sz w:val="18"/>
          <w:rtl/>
        </w:rPr>
        <w:t>נצ</w:t>
      </w:r>
      <w:proofErr w:type="spellEnd"/>
      <w:r w:rsidRPr="001A0B66">
        <w:rPr>
          <w:sz w:val="18"/>
          <w:rtl/>
        </w:rPr>
        <w:t xml:space="preserve">') 81920-08-25 </w:t>
      </w:r>
      <w:proofErr w:type="spellStart"/>
      <w:r w:rsidRPr="001A0B66">
        <w:rPr>
          <w:sz w:val="18"/>
          <w:rtl/>
        </w:rPr>
        <w:t>ורע"ב</w:t>
      </w:r>
      <w:proofErr w:type="spellEnd"/>
      <w:r w:rsidRPr="001A0B66">
        <w:rPr>
          <w:sz w:val="18"/>
          <w:rtl/>
        </w:rPr>
        <w:t xml:space="preserve"> 4509/15 מדינת</w:t>
      </w:r>
      <w:r w:rsidRPr="001A0B66">
        <w:rPr>
          <w:sz w:val="18"/>
        </w:rPr>
        <w:t xml:space="preserve"> </w:t>
      </w:r>
      <w:r w:rsidRPr="001A0B66">
        <w:rPr>
          <w:sz w:val="18"/>
          <w:rtl/>
        </w:rPr>
        <w:t>ישראל</w:t>
      </w:r>
      <w:r w:rsidRPr="001A0B66">
        <w:rPr>
          <w:sz w:val="18"/>
        </w:rPr>
        <w:t xml:space="preserve"> </w:t>
      </w:r>
      <w:r w:rsidRPr="001A0B66">
        <w:rPr>
          <w:sz w:val="18"/>
          <w:rtl/>
        </w:rPr>
        <w:t xml:space="preserve">נ' </w:t>
      </w:r>
      <w:proofErr w:type="spellStart"/>
      <w:r w:rsidRPr="001A0B66">
        <w:rPr>
          <w:sz w:val="18"/>
          <w:rtl/>
        </w:rPr>
        <w:t>אלבל</w:t>
      </w:r>
      <w:proofErr w:type="spellEnd"/>
      <w:r w:rsidRPr="001A0B66">
        <w:rPr>
          <w:sz w:val="18"/>
          <w:rtl/>
        </w:rPr>
        <w:t xml:space="preserve">" </w:t>
      </w:r>
      <w:r w:rsidRPr="001A0B66">
        <w:rPr>
          <w:b/>
          <w:bCs/>
          <w:sz w:val="18"/>
          <w:rtl/>
        </w:rPr>
        <w:t>"המשפט" ברשת: זכויות אדם – מבזקי הארות פסיקה</w:t>
      </w:r>
      <w:r w:rsidRPr="001A0B66">
        <w:rPr>
          <w:sz w:val="18"/>
          <w:rtl/>
        </w:rPr>
        <w:t xml:space="preserve"> 48 (2015) (להלן: בן-נתן, בחזרה לעתיד). עם זאת, אפשר להגיש ראיות חסויות גם בשלב הדיון במעצר עד תום ההליכים לצורך ביסוס עילת המעצר (להבדיל מרף הראיות לכאורה הנדרש להצדקת מעצר שכזה). ראו "הגשת ראיות חסויות בהליך המעצר עד תום ההליכים</w:t>
      </w:r>
      <w:r w:rsidRPr="001A0B66">
        <w:rPr>
          <w:b/>
          <w:bCs/>
          <w:sz w:val="18"/>
          <w:rtl/>
        </w:rPr>
        <w:t>"</w:t>
      </w:r>
      <w:r w:rsidRPr="001A0B66">
        <w:rPr>
          <w:sz w:val="18"/>
          <w:rtl/>
        </w:rPr>
        <w:t xml:space="preserve"> הנחיות פרקליט המדינה 5.15 (</w:t>
      </w:r>
      <w:proofErr w:type="spellStart"/>
      <w:r w:rsidRPr="001A0B66">
        <w:rPr>
          <w:sz w:val="18"/>
          <w:rtl/>
        </w:rPr>
        <w:t>התשס"ז</w:t>
      </w:r>
      <w:proofErr w:type="spellEnd"/>
      <w:r w:rsidRPr="001A0B66">
        <w:rPr>
          <w:sz w:val="18"/>
          <w:rtl/>
        </w:rPr>
        <w:t xml:space="preserve">) </w:t>
      </w:r>
      <w:hyperlink r:id="rId1" w:history="1">
        <w:r w:rsidRPr="001A0B66">
          <w:rPr>
            <w:rStyle w:val="Hyperlink"/>
            <w:rFonts w:cs="David"/>
            <w:sz w:val="18"/>
          </w:rPr>
          <w:t>www.justice.gov.il/Units/StateAttorney/Guidelines/05.15.pdf</w:t>
        </w:r>
      </w:hyperlink>
      <w:r w:rsidRPr="001A0B66">
        <w:rPr>
          <w:rStyle w:val="Hyperlink"/>
          <w:rFonts w:cs="David"/>
          <w:color w:val="auto"/>
          <w:sz w:val="18"/>
          <w:rtl/>
        </w:rPr>
        <w:t>.</w:t>
      </w:r>
    </w:p>
  </w:footnote>
  <w:footnote w:id="4">
    <w:p w14:paraId="3A1F158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סעיפים 44-45 לפקודת הראיות [נוסח חדש] תשל"א–1971, </w:t>
      </w:r>
      <w:hyperlink r:id="rId2" w:history="1">
        <w:r w:rsidRPr="001A0B66">
          <w:rPr>
            <w:rStyle w:val="Hyperlink"/>
            <w:rFonts w:ascii="David" w:hAnsi="David" w:cs="David"/>
            <w:rtl/>
          </w:rPr>
          <w:t>דיני מדינת ישראל, נוסח חדש 18</w:t>
        </w:r>
      </w:hyperlink>
      <w:r w:rsidRPr="001A0B66">
        <w:rPr>
          <w:rFonts w:ascii="David" w:hAnsi="David"/>
          <w:rtl/>
        </w:rPr>
        <w:t xml:space="preserve">, עמ' 421; </w:t>
      </w:r>
      <w:r w:rsidRPr="001A0B66">
        <w:rPr>
          <w:sz w:val="18"/>
          <w:rtl/>
        </w:rPr>
        <w:t xml:space="preserve">ב"ש 838/84 </w:t>
      </w:r>
      <w:r w:rsidRPr="001A0B66">
        <w:rPr>
          <w:b/>
          <w:bCs/>
          <w:sz w:val="18"/>
          <w:rtl/>
        </w:rPr>
        <w:t>ליבני נ' מדינת ישראל</w:t>
      </w:r>
      <w:r w:rsidRPr="001A0B66">
        <w:rPr>
          <w:sz w:val="18"/>
          <w:rtl/>
        </w:rPr>
        <w:t xml:space="preserve">, פ"ד לח(3) 729, פס' 8 (1984); ב"ש 64/87 </w:t>
      </w:r>
      <w:r w:rsidRPr="001A0B66">
        <w:rPr>
          <w:b/>
          <w:bCs/>
          <w:sz w:val="18"/>
          <w:rtl/>
        </w:rPr>
        <w:t>ואנונו נ' מדינת ישראל</w:t>
      </w:r>
      <w:r w:rsidRPr="001A0B66">
        <w:rPr>
          <w:sz w:val="18"/>
          <w:rtl/>
        </w:rPr>
        <w:t xml:space="preserve">, פ"ד </w:t>
      </w:r>
      <w:proofErr w:type="spellStart"/>
      <w:r w:rsidRPr="001A0B66">
        <w:rPr>
          <w:sz w:val="18"/>
          <w:rtl/>
        </w:rPr>
        <w:t>מא</w:t>
      </w:r>
      <w:proofErr w:type="spellEnd"/>
      <w:r w:rsidRPr="001A0B66">
        <w:rPr>
          <w:sz w:val="18"/>
          <w:rtl/>
        </w:rPr>
        <w:t xml:space="preserve">(3) 533, פס' 4–5 (1987); ע"פ 4765/98 </w:t>
      </w:r>
      <w:r w:rsidRPr="001A0B66">
        <w:rPr>
          <w:b/>
          <w:bCs/>
          <w:sz w:val="18"/>
          <w:rtl/>
        </w:rPr>
        <w:t>אבו סעדה נ' מדינת ישראל</w:t>
      </w:r>
      <w:r w:rsidRPr="001A0B66">
        <w:rPr>
          <w:sz w:val="18"/>
          <w:rtl/>
        </w:rPr>
        <w:t>,</w:t>
      </w:r>
      <w:r w:rsidRPr="001A0B66">
        <w:rPr>
          <w:b/>
          <w:bCs/>
          <w:sz w:val="18"/>
          <w:rtl/>
        </w:rPr>
        <w:t xml:space="preserve"> </w:t>
      </w:r>
      <w:r w:rsidRPr="001A0B66">
        <w:rPr>
          <w:sz w:val="18"/>
          <w:rtl/>
        </w:rPr>
        <w:t>פ"ד</w:t>
      </w:r>
      <w:r w:rsidRPr="001A0B66">
        <w:rPr>
          <w:b/>
          <w:bCs/>
          <w:sz w:val="18"/>
          <w:rtl/>
        </w:rPr>
        <w:t xml:space="preserve"> </w:t>
      </w:r>
      <w:proofErr w:type="spellStart"/>
      <w:r w:rsidRPr="001A0B66">
        <w:rPr>
          <w:sz w:val="18"/>
          <w:rtl/>
        </w:rPr>
        <w:t>נג</w:t>
      </w:r>
      <w:proofErr w:type="spellEnd"/>
      <w:r w:rsidRPr="001A0B66">
        <w:rPr>
          <w:sz w:val="18"/>
          <w:rtl/>
        </w:rPr>
        <w:t xml:space="preserve">(1) 832 (1999) (להלן: עניין </w:t>
      </w:r>
      <w:r w:rsidRPr="001A0B66">
        <w:rPr>
          <w:b/>
          <w:bCs/>
          <w:sz w:val="18"/>
          <w:rtl/>
        </w:rPr>
        <w:t>אבו סעדה</w:t>
      </w:r>
      <w:r w:rsidRPr="001A0B66">
        <w:rPr>
          <w:sz w:val="18"/>
          <w:rtl/>
        </w:rPr>
        <w:t>).</w:t>
      </w:r>
    </w:p>
  </w:footnote>
  <w:footnote w:id="5">
    <w:p w14:paraId="5589CF6E"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rFonts w:ascii="David" w:hAnsi="David"/>
          <w:rtl/>
        </w:rPr>
        <w:t xml:space="preserve">יצחק זמיר, </w:t>
      </w:r>
      <w:r w:rsidRPr="001A0B66">
        <w:rPr>
          <w:rFonts w:ascii="David" w:hAnsi="David"/>
          <w:b/>
          <w:bCs/>
          <w:rtl/>
        </w:rPr>
        <w:t xml:space="preserve">הסמכות </w:t>
      </w:r>
      <w:proofErr w:type="spellStart"/>
      <w:r w:rsidRPr="001A0B66">
        <w:rPr>
          <w:rFonts w:ascii="David" w:hAnsi="David"/>
          <w:b/>
          <w:bCs/>
          <w:rtl/>
        </w:rPr>
        <w:t>המינהלית</w:t>
      </w:r>
      <w:proofErr w:type="spellEnd"/>
      <w:r w:rsidRPr="001A0B66">
        <w:rPr>
          <w:rFonts w:ascii="David" w:hAnsi="David"/>
          <w:rtl/>
        </w:rPr>
        <w:t xml:space="preserve">, </w:t>
      </w:r>
      <w:r w:rsidRPr="001A0B66">
        <w:rPr>
          <w:b/>
          <w:bCs/>
          <w:sz w:val="18"/>
          <w:rtl/>
        </w:rPr>
        <w:t xml:space="preserve">כרך ד - סדרי הביקורת המשפטית, </w:t>
      </w:r>
      <w:r w:rsidRPr="001A0B66">
        <w:rPr>
          <w:sz w:val="18"/>
          <w:rtl/>
        </w:rPr>
        <w:t>2860-2859</w:t>
      </w:r>
      <w:r w:rsidRPr="001A0B66">
        <w:rPr>
          <w:rFonts w:ascii="David" w:hAnsi="David"/>
          <w:b/>
          <w:bCs/>
          <w:rtl/>
        </w:rPr>
        <w:t xml:space="preserve"> </w:t>
      </w:r>
      <w:r w:rsidRPr="001A0B66">
        <w:rPr>
          <w:rFonts w:ascii="David" w:hAnsi="David"/>
          <w:rtl/>
        </w:rPr>
        <w:t xml:space="preserve">(2017) (להלן: זמיר) עומד על קושי זה. </w:t>
      </w:r>
      <w:r w:rsidRPr="001A0B66">
        <w:rPr>
          <w:sz w:val="18"/>
          <w:rtl/>
        </w:rPr>
        <w:t xml:space="preserve">בהקשרו של המעצר </w:t>
      </w:r>
      <w:proofErr w:type="spellStart"/>
      <w:r w:rsidRPr="001A0B66">
        <w:rPr>
          <w:sz w:val="18"/>
          <w:rtl/>
        </w:rPr>
        <w:t>המינהלי</w:t>
      </w:r>
      <w:proofErr w:type="spellEnd"/>
      <w:r w:rsidRPr="001A0B66">
        <w:rPr>
          <w:sz w:val="18"/>
          <w:rtl/>
        </w:rPr>
        <w:t xml:space="preserve">, להבדיל מסמכויות חירום אחרות, הביקורת השיפוטית על הפעלתו בידי שר הביטחון או המפקד הצבאי לכאורה רחבה יותר. על פי הרטוריקה הפסיקתית בית המשפט אמור להיות שותף בעל סמכות וטו על ההכרעה לגופה; זאת להבדיל מבקרה בלבד. ראו את הכרעתו של השופט </w:t>
      </w:r>
      <w:proofErr w:type="spellStart"/>
      <w:r w:rsidRPr="001A0B66">
        <w:rPr>
          <w:sz w:val="18"/>
          <w:rtl/>
        </w:rPr>
        <w:t>בייסקי</w:t>
      </w:r>
      <w:proofErr w:type="spellEnd"/>
      <w:r w:rsidRPr="001A0B66">
        <w:rPr>
          <w:sz w:val="18"/>
          <w:rtl/>
        </w:rPr>
        <w:t xml:space="preserve"> </w:t>
      </w:r>
      <w:proofErr w:type="spellStart"/>
      <w:r w:rsidRPr="001A0B66">
        <w:rPr>
          <w:sz w:val="18"/>
          <w:rtl/>
        </w:rPr>
        <w:t>בעמ"מ</w:t>
      </w:r>
      <w:proofErr w:type="spellEnd"/>
      <w:r w:rsidRPr="001A0B66">
        <w:rPr>
          <w:sz w:val="18"/>
          <w:rtl/>
        </w:rPr>
        <w:t xml:space="preserve"> 2/86 </w:t>
      </w:r>
      <w:r w:rsidRPr="001A0B66">
        <w:rPr>
          <w:b/>
          <w:bCs/>
          <w:sz w:val="18"/>
          <w:rtl/>
        </w:rPr>
        <w:t>פלוני נ' שר הביטחון</w:t>
      </w:r>
      <w:r w:rsidRPr="001A0B66">
        <w:rPr>
          <w:sz w:val="18"/>
          <w:rtl/>
        </w:rPr>
        <w:t xml:space="preserve">, פ"ד </w:t>
      </w:r>
      <w:proofErr w:type="spellStart"/>
      <w:r w:rsidRPr="001A0B66">
        <w:rPr>
          <w:sz w:val="18"/>
          <w:rtl/>
        </w:rPr>
        <w:t>מא</w:t>
      </w:r>
      <w:proofErr w:type="spellEnd"/>
      <w:r w:rsidRPr="001A0B66">
        <w:rPr>
          <w:sz w:val="18"/>
          <w:rtl/>
        </w:rPr>
        <w:t xml:space="preserve">(2) </w:t>
      </w:r>
      <w:r w:rsidRPr="001A0B66">
        <w:rPr>
          <w:rtl/>
        </w:rPr>
        <w:t>508 (1986). ואולם בהינתן בעיית הראיות החסויות, אין בכך די להועיל. נרחיב בכך מיד.</w:t>
      </w:r>
      <w:r w:rsidRPr="001A0B66">
        <w:rPr>
          <w:color w:val="0070C0"/>
          <w:rtl/>
        </w:rPr>
        <w:t xml:space="preserve"> </w:t>
      </w:r>
    </w:p>
  </w:footnote>
  <w:footnote w:id="6">
    <w:p w14:paraId="22E7A4AD" w14:textId="77777777" w:rsidR="0019600D" w:rsidRDefault="0091227C" w:rsidP="00E157D9">
      <w:pPr>
        <w:pStyle w:val="CommentText"/>
        <w:spacing w:after="60"/>
        <w:ind w:left="720" w:hanging="720"/>
      </w:pPr>
      <w:r w:rsidRPr="001A0B66">
        <w:rPr>
          <w:rStyle w:val="FootnoteReference"/>
          <w:rFonts w:cs="David"/>
          <w:szCs w:val="20"/>
          <w:rtl/>
        </w:rPr>
        <w:footnoteRef/>
      </w:r>
      <w:r w:rsidRPr="001A0B66">
        <w:rPr>
          <w:rStyle w:val="FootnoteReference"/>
          <w:rFonts w:cs="David"/>
          <w:sz w:val="18"/>
          <w:rtl/>
        </w:rPr>
        <w:tab/>
      </w:r>
      <w:r w:rsidRPr="001A0B66">
        <w:rPr>
          <w:szCs w:val="20"/>
          <w:rtl/>
        </w:rPr>
        <w:t xml:space="preserve">אנו עוסקים בנשימה אחת בראיות חסויות ובסמכויות חירום (שהפרדיגמטית שבהן היא סמכות המעצר </w:t>
      </w:r>
      <w:proofErr w:type="spellStart"/>
      <w:r w:rsidRPr="001A0B66">
        <w:rPr>
          <w:szCs w:val="20"/>
          <w:rtl/>
        </w:rPr>
        <w:t>המינהלי</w:t>
      </w:r>
      <w:proofErr w:type="spellEnd"/>
      <w:r w:rsidRPr="001A0B66">
        <w:rPr>
          <w:szCs w:val="20"/>
          <w:rtl/>
        </w:rPr>
        <w:t xml:space="preserve">), שכן השילוב ביניהן הוא מבני: אין מעצר </w:t>
      </w:r>
      <w:proofErr w:type="spellStart"/>
      <w:r w:rsidRPr="001A0B66">
        <w:rPr>
          <w:szCs w:val="20"/>
          <w:rtl/>
        </w:rPr>
        <w:t>מינהלי</w:t>
      </w:r>
      <w:proofErr w:type="spellEnd"/>
      <w:r w:rsidRPr="001A0B66">
        <w:rPr>
          <w:szCs w:val="20"/>
          <w:rtl/>
        </w:rPr>
        <w:t xml:space="preserve"> בישראל ללא הישענות מוחלטת או מקיפה מאד על ראיות חסויות; והצורך בחסיונן הוא זה שמושמע כצידוק עיקרי להפעלתן של אותן סמכויות חירום. ראו: שלומי זכריה "'משונה התמונה ומשונים אסירייך' – על היציאה ממערת הקסמים של החומר החסוי והחזרה אליה: בעקבות פסק הדין בבג"ץ 317/13 ג'אבר </w:t>
      </w:r>
      <w:proofErr w:type="spellStart"/>
      <w:r w:rsidRPr="001A0B66">
        <w:rPr>
          <w:szCs w:val="20"/>
          <w:rtl/>
        </w:rPr>
        <w:t>ממדוח</w:t>
      </w:r>
      <w:proofErr w:type="spellEnd"/>
      <w:r w:rsidRPr="001A0B66">
        <w:rPr>
          <w:szCs w:val="20"/>
          <w:rtl/>
        </w:rPr>
        <w:t xml:space="preserve"> עברה נגד מפקד כוחות צה"ל </w:t>
      </w:r>
      <w:proofErr w:type="spellStart"/>
      <w:r w:rsidRPr="001A0B66">
        <w:rPr>
          <w:szCs w:val="20"/>
          <w:rtl/>
        </w:rPr>
        <w:t>באיו"ש</w:t>
      </w:r>
      <w:proofErr w:type="spellEnd"/>
      <w:r w:rsidRPr="001A0B66">
        <w:rPr>
          <w:szCs w:val="20"/>
          <w:rtl/>
        </w:rPr>
        <w:t xml:space="preserve">" </w:t>
      </w:r>
      <w:r w:rsidRPr="001A0B66">
        <w:rPr>
          <w:b/>
          <w:bCs/>
          <w:szCs w:val="20"/>
          <w:rtl/>
        </w:rPr>
        <w:t>"המשפט" ברשת: זכויות אדם – מבזקי הארות פסיקה</w:t>
      </w:r>
      <w:r w:rsidRPr="001A0B66">
        <w:rPr>
          <w:szCs w:val="20"/>
          <w:rtl/>
        </w:rPr>
        <w:t xml:space="preserve"> 4 (2013) (להלן: זכריה); גבי לסקי "בג"ץ עברה כדוגמא לחוסר חשיבותה של גרסת העצור והגנתו המשפטית בהליך המעצר המנהלי" </w:t>
      </w:r>
      <w:r w:rsidRPr="001A0B66">
        <w:rPr>
          <w:b/>
          <w:bCs/>
          <w:szCs w:val="20"/>
          <w:rtl/>
        </w:rPr>
        <w:t xml:space="preserve">"המשפט" ברשת: זכויות אדם – מבזקי הארות פסיקה </w:t>
      </w:r>
      <w:r w:rsidRPr="001A0B66">
        <w:rPr>
          <w:b/>
          <w:szCs w:val="20"/>
          <w:rtl/>
        </w:rPr>
        <w:t>4</w:t>
      </w:r>
      <w:r w:rsidRPr="001A0B66">
        <w:rPr>
          <w:szCs w:val="20"/>
          <w:rtl/>
        </w:rPr>
        <w:t xml:space="preserve">, 10, 18 (2013) (להלן: לסקי). שירי קרבס מצאה כי בשנים 2000–2010 95% מתוך 322 החלטות בית המשפט בעניין מעצרים מנהליים התבססו על ראיות חסויות שהציגה המדינה בדיונים במעמד צד אחד; </w:t>
      </w:r>
      <w:r w:rsidRPr="001A0B66">
        <w:rPr>
          <w:szCs w:val="20"/>
        </w:rPr>
        <w:t xml:space="preserve">Shiri Krebs, </w:t>
      </w:r>
      <w:r w:rsidRPr="001A0B66">
        <w:rPr>
          <w:i/>
          <w:iCs/>
          <w:szCs w:val="20"/>
        </w:rPr>
        <w:t xml:space="preserve">Lifting the veil of secrecy: Judicial Review of Administrative Detentions in the Israeli Supreme Court, </w:t>
      </w:r>
      <w:r w:rsidRPr="001A0B66">
        <w:rPr>
          <w:szCs w:val="20"/>
        </w:rPr>
        <w:t xml:space="preserve">45 </w:t>
      </w:r>
      <w:proofErr w:type="spellStart"/>
      <w:r w:rsidRPr="001A0B66">
        <w:rPr>
          <w:smallCaps/>
          <w:szCs w:val="20"/>
        </w:rPr>
        <w:t>Vand</w:t>
      </w:r>
      <w:proofErr w:type="spellEnd"/>
      <w:r w:rsidRPr="001A0B66">
        <w:rPr>
          <w:smallCaps/>
          <w:szCs w:val="20"/>
        </w:rPr>
        <w:t xml:space="preserve">. J. </w:t>
      </w:r>
      <w:proofErr w:type="spellStart"/>
      <w:r w:rsidRPr="001A0B66">
        <w:rPr>
          <w:smallCaps/>
          <w:szCs w:val="20"/>
        </w:rPr>
        <w:t>Transnat'l</w:t>
      </w:r>
      <w:proofErr w:type="spellEnd"/>
      <w:r w:rsidRPr="001A0B66">
        <w:rPr>
          <w:smallCaps/>
          <w:szCs w:val="20"/>
        </w:rPr>
        <w:t xml:space="preserve"> L.</w:t>
      </w:r>
      <w:r w:rsidRPr="001A0B66">
        <w:rPr>
          <w:szCs w:val="20"/>
        </w:rPr>
        <w:t xml:space="preserve"> 639 (2012)</w:t>
      </w:r>
      <w:r w:rsidRPr="001A0B66">
        <w:rPr>
          <w:szCs w:val="20"/>
          <w:rtl/>
        </w:rPr>
        <w:t xml:space="preserve"> (להלן: קרבס). מחקרה חושף גם שאין ולו הליך אחד שהסתיים בביטול צו המעצר המנהלי סמוך לאחר הוצאתו או שקבע כי הראיות החסויות שעליהן התבסס ההליך אינן מהימנות (שם, בעמ' 640). ראו גם:</w:t>
      </w:r>
      <w:r w:rsidRPr="001A0B66">
        <w:rPr>
          <w:szCs w:val="20"/>
        </w:rPr>
        <w:t xml:space="preserve"> Shiri Krebs, </w:t>
      </w:r>
      <w:r w:rsidRPr="001A0B66">
        <w:rPr>
          <w:i/>
          <w:iCs/>
          <w:szCs w:val="20"/>
        </w:rPr>
        <w:t>The Secret Keepers: Judges, Security Detentions, and Secret Evidence</w:t>
      </w:r>
      <w:r w:rsidRPr="001A0B66">
        <w:rPr>
          <w:szCs w:val="20"/>
        </w:rPr>
        <w:t xml:space="preserve">, in </w:t>
      </w:r>
      <w:r w:rsidRPr="001A0B66">
        <w:rPr>
          <w:smallCaps/>
          <w:szCs w:val="20"/>
        </w:rPr>
        <w:t>Reasoning Rights: Comparative Judicial Engagement</w:t>
      </w:r>
      <w:r w:rsidRPr="001A0B66">
        <w:rPr>
          <w:szCs w:val="20"/>
        </w:rPr>
        <w:t xml:space="preserve"> 179, 198-200, 283 (</w:t>
      </w:r>
      <w:proofErr w:type="spellStart"/>
      <w:r w:rsidRPr="001A0B66">
        <w:rPr>
          <w:szCs w:val="20"/>
        </w:rPr>
        <w:t>Liora</w:t>
      </w:r>
      <w:proofErr w:type="spellEnd"/>
      <w:r w:rsidRPr="001A0B66">
        <w:rPr>
          <w:szCs w:val="20"/>
        </w:rPr>
        <w:t xml:space="preserve"> Lazarus, Christopher McCrudden &amp; Nigel Bowles, eds., 2014).</w:t>
      </w:r>
      <w:r w:rsidRPr="001A0B66">
        <w:rPr>
          <w:szCs w:val="20"/>
          <w:rtl/>
        </w:rPr>
        <w:t xml:space="preserve"> (להלן: קרבס 2014).</w:t>
      </w:r>
    </w:p>
  </w:footnote>
  <w:footnote w:id="7">
    <w:p w14:paraId="2BA54209"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bookmarkStart w:id="10" w:name="LGS_Subject"/>
      <w:r w:rsidRPr="001A0B66">
        <w:rPr>
          <w:spacing w:val="-6"/>
          <w:rtl/>
        </w:rPr>
        <w:t xml:space="preserve">הצעת חוק עורכי דין מיוחדים, </w:t>
      </w:r>
      <w:proofErr w:type="spellStart"/>
      <w:r w:rsidRPr="001A0B66">
        <w:rPr>
          <w:spacing w:val="-6"/>
          <w:rtl/>
        </w:rPr>
        <w:t>התשע"ז</w:t>
      </w:r>
      <w:proofErr w:type="spellEnd"/>
      <w:r w:rsidRPr="001A0B66">
        <w:rPr>
          <w:spacing w:val="-6"/>
          <w:rtl/>
        </w:rPr>
        <w:t>–201</w:t>
      </w:r>
      <w:bookmarkEnd w:id="10"/>
      <w:r w:rsidRPr="001A0B66">
        <w:rPr>
          <w:spacing w:val="-6"/>
          <w:rtl/>
        </w:rPr>
        <w:t xml:space="preserve">7, פ/4080/20 </w:t>
      </w:r>
      <w:hyperlink r:id="rId3" w:history="1">
        <w:r w:rsidRPr="001A0B66">
          <w:rPr>
            <w:rStyle w:val="Hyperlink"/>
            <w:rFonts w:cs="David"/>
            <w:spacing w:val="-6"/>
          </w:rPr>
          <w:t>http://fs.knesset.gov.il/20/law/20_lst_381499.docx</w:t>
        </w:r>
      </w:hyperlink>
      <w:r w:rsidRPr="001A0B66">
        <w:rPr>
          <w:rtl/>
        </w:rPr>
        <w:t xml:space="preserve"> (להלן: הצעת החוק).</w:t>
      </w:r>
    </w:p>
  </w:footnote>
  <w:footnote w:id="8">
    <w:p w14:paraId="7DE32E27" w14:textId="77777777" w:rsidR="0019600D" w:rsidRDefault="0091227C" w:rsidP="00E157D9">
      <w:pPr>
        <w:pStyle w:val="FootnoteText"/>
        <w:spacing w:after="60"/>
      </w:pPr>
      <w:r w:rsidRPr="001A0B66">
        <w:rPr>
          <w:rStyle w:val="FootnoteReference"/>
        </w:rPr>
        <w:footnoteRef/>
      </w:r>
      <w:r w:rsidRPr="001A0B66">
        <w:rPr>
          <w:rtl/>
        </w:rPr>
        <w:t xml:space="preserve"> </w:t>
      </w:r>
      <w:r w:rsidRPr="001A0B66">
        <w:rPr>
          <w:rtl/>
        </w:rPr>
        <w:tab/>
      </w:r>
      <w:r w:rsidRPr="001A0B66">
        <w:rPr>
          <w:sz w:val="18"/>
          <w:rtl/>
        </w:rPr>
        <w:fldChar w:fldCharType="begin"/>
      </w:r>
      <w:r w:rsidRPr="001A0B66">
        <w:rPr>
          <w:sz w:val="18"/>
          <w:rtl/>
        </w:rPr>
        <w:instrText xml:space="preserve"> ADDIN ZOTERO_ITEM CSL_CITATION {"citationID":"HSTfA0BR","properties":{"formattedCitation":"{\\scaps \\uc0\\u1506{}\\uc0\\u1502{}\\uc0\\u1497{}\\uc0\\u1514{} \\uc0\\u1508{}\\uc0\\u1512{}\\uc0\\u1497{}\\uc0\\u1497{}\\uc0\\u1494{} &amp; \\uc0\\u1488{}\\uc0\\u1497{}\\uc0\\u1497{}\\uc0\\u1500{} \\uc0\\u1504{}\\uc0\\u1493{}\\uc0\\u1503{}}, {\\scaps \\uc0\\u1492{}\\uc0\\u1502{}\\uc0\\u1506{}\\uc0\\u1510{}\\uc0\\u1512{} \\uc0\\u1492{}\\uc0\\u1502{}\\uc0\\u1497{}\\uc0\\u1504{}\\uc0\\u1492{}\\uc0\\u1500{}\\uc0\\u1497{} \\uc0\\u1489{}\\uc0\\u1502{}\\uc0\\u1491{}\\uc0\\u1497{}\\uc0\\u1504{}\\uc0\\u1514{} \\uc0\\u1497{}\\uc0\\u1513{}\\uc0\\u1512{}\\uc0\\u1488{}\\uc0\\u1500{} \\uc0\\u1493{}\\uc0\\u1489{}\\uc0\\u1488{}\\uc0\\u1494{}\\uc0\\u1493{}\\uc0\\u1512{} \\uc0\\u1497{}\\uc0\\u1492{}\\uc0\\u1493{}\\uc0\\u1491{}\\uc0\\u1492{} \\uc0\\u1493{}\\uc0\\u1513{}\\uc0\\u1493{}\\uc0\\u1502{}\\uc0\\u1512{}\\uc0\\u1493{}\\uc0\\u1503{} - \\uc0\\u1492{}\\uc0\\u1489{}\\uc0\\u1505{}\\uc0\\u1497{}\\uc0\\u1505{} \\uc0\\u1492{}\\uc0\\u1506{}\\uc0\\u1497{}\\uc0\\u1493{}\\uc0\\u1504{}\\uc0\\u1497{}, \\uc0\\u1502{}\\uc0\\u1492{}\\uc0\\u1493{}\\uc0\\u1514{}, \\uc0\\u1505{}\\uc0\\u1491{}\\uc0\\u1512{}\\uc0\\u1497{} \\uc0\\u1491{}\\uc0\\u1497{}\\uc0\\u1503{} \\uc0\\u1493{}\\uc0\\u1505{}\\uc0\\u1493{}\\uc0\\u1490{}\\uc0\\u1497{}\\uc0\\u1493{}\\uc0\\u1514{} \\uc0\\u1504{}\\uc0\\u1500{}\\uc0\\u1493{}\\uc0\\u1493{}\\uc0\\u1514{}} (2019).","plainCitation":"עמית פרייז &amp; אייל נון, המעצר המינהלי במדינת ישראל ובאזור יהודה ושומרון - הבסיס העיוני, מהות, סדרי דין וסוגיות נלוות (2019).","dontUpdate":true,"noteIndex":7},"citationItems":[{"id":639,"uris":["http://zotero.org/users/4596729/items/GX8HS8WM"],"uri":["http://zotero.org/users/4596729/items/GX8HS8WM"],"itemData":{"id":639,"type":"book","publisher":"נבו הוצאה לאור","title":"המעצר המינהלי במדינת ישראל ובאזור יהודה ושומרון - הבסיס העיוני, מהות, סדרי דין וסוגיות נלוות","author":[{"family":"פרייז","given":"עמית"},{"family":"נון","given":"אייל"}],"issued":{"date-parts":[["2019"]]}}}],"schema":"https://github.com/citation-style-language/schema/raw/master/csl-citation.json"} </w:instrText>
      </w:r>
      <w:r w:rsidRPr="001A0B66">
        <w:rPr>
          <w:sz w:val="18"/>
          <w:rtl/>
        </w:rPr>
        <w:fldChar w:fldCharType="separate"/>
      </w:r>
      <w:r w:rsidRPr="001A0B66">
        <w:rPr>
          <w:smallCaps/>
          <w:sz w:val="18"/>
          <w:rtl/>
        </w:rPr>
        <w:t xml:space="preserve">עמית </w:t>
      </w:r>
      <w:proofErr w:type="spellStart"/>
      <w:r w:rsidRPr="001A0B66">
        <w:rPr>
          <w:smallCaps/>
          <w:sz w:val="18"/>
          <w:rtl/>
        </w:rPr>
        <w:t>פרייז</w:t>
      </w:r>
      <w:proofErr w:type="spellEnd"/>
      <w:r w:rsidRPr="001A0B66">
        <w:rPr>
          <w:smallCaps/>
          <w:sz w:val="18"/>
          <w:rtl/>
        </w:rPr>
        <w:t xml:space="preserve"> ואייל נון</w:t>
      </w:r>
      <w:r w:rsidRPr="001A0B66">
        <w:rPr>
          <w:sz w:val="18"/>
          <w:rtl/>
        </w:rPr>
        <w:t xml:space="preserve"> </w:t>
      </w:r>
      <w:r w:rsidRPr="001A0B66">
        <w:rPr>
          <w:b/>
          <w:bCs/>
          <w:smallCaps/>
          <w:sz w:val="18"/>
          <w:rtl/>
        </w:rPr>
        <w:t xml:space="preserve">המעצר </w:t>
      </w:r>
      <w:proofErr w:type="spellStart"/>
      <w:r w:rsidRPr="001A0B66">
        <w:rPr>
          <w:b/>
          <w:bCs/>
          <w:smallCaps/>
          <w:sz w:val="18"/>
          <w:rtl/>
        </w:rPr>
        <w:t>המינהלי</w:t>
      </w:r>
      <w:proofErr w:type="spellEnd"/>
      <w:r w:rsidRPr="001A0B66">
        <w:rPr>
          <w:b/>
          <w:bCs/>
          <w:smallCaps/>
          <w:sz w:val="18"/>
          <w:rtl/>
        </w:rPr>
        <w:t xml:space="preserve"> במדינת ישראל ובאזור יהודה ושומרון – הבסיס העיוני, מהות, סדרי דין וסוגיות נלוות</w:t>
      </w:r>
      <w:r w:rsidRPr="001A0B66">
        <w:rPr>
          <w:sz w:val="18"/>
          <w:rtl/>
        </w:rPr>
        <w:fldChar w:fldCharType="end"/>
      </w:r>
      <w:r w:rsidRPr="001A0B66">
        <w:rPr>
          <w:sz w:val="18"/>
          <w:rtl/>
        </w:rPr>
        <w:t xml:space="preserve"> 39–41 (2019) (להלן: </w:t>
      </w:r>
      <w:proofErr w:type="spellStart"/>
      <w:r w:rsidRPr="001A0B66">
        <w:rPr>
          <w:sz w:val="18"/>
          <w:rtl/>
        </w:rPr>
        <w:t>פרייז</w:t>
      </w:r>
      <w:proofErr w:type="spellEnd"/>
      <w:r w:rsidRPr="001A0B66">
        <w:rPr>
          <w:sz w:val="18"/>
          <w:rtl/>
        </w:rPr>
        <w:t xml:space="preserve"> ונון). המחברים מביאים נתונים על מספר העצורים המנהליים לאורך השנים; על פי נתונים אלה, מ-1967 ועד 2016 (באופן בלתי רציף) נמצאו במעצר מנהלי מדי שנה בין מאות לאלף עצורים. ראו גם קרבס, לעיל, </w:t>
      </w:r>
      <w:proofErr w:type="spellStart"/>
      <w:r w:rsidRPr="001A0B66">
        <w:rPr>
          <w:sz w:val="18"/>
          <w:rtl/>
        </w:rPr>
        <w:t>ה"ש</w:t>
      </w:r>
      <w:proofErr w:type="spellEnd"/>
      <w:r w:rsidRPr="001A0B66">
        <w:rPr>
          <w:sz w:val="18"/>
          <w:rtl/>
        </w:rPr>
        <w:t xml:space="preserve"> 5, עמ' 677.</w:t>
      </w:r>
      <w:r w:rsidRPr="001A0B66">
        <w:rPr>
          <w:color w:val="0070C0"/>
          <w:rtl/>
        </w:rPr>
        <w:t xml:space="preserve"> </w:t>
      </w:r>
    </w:p>
  </w:footnote>
  <w:footnote w:id="9">
    <w:p w14:paraId="0F6E9B09"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את האפיונים "נורמלית" ו"לא נורמלית" אנו שואלים מהשופט רובינשטיין בבג"ץ 3091/99 </w:t>
      </w:r>
      <w:r w:rsidRPr="001A0B66">
        <w:rPr>
          <w:b/>
          <w:bCs/>
          <w:sz w:val="18"/>
          <w:rtl/>
        </w:rPr>
        <w:t xml:space="preserve">האגודה לזכויות האזרח בישראל נ' הכנסת </w:t>
      </w:r>
      <w:r w:rsidRPr="001A0B66">
        <w:rPr>
          <w:sz w:val="18"/>
          <w:rtl/>
        </w:rPr>
        <w:t xml:space="preserve">(פורסם בנבו, 8.5.2012), שם הוא מאפיין את ישראל בתמצית (בפסקה </w:t>
      </w:r>
      <w:proofErr w:type="spellStart"/>
      <w:r w:rsidRPr="001A0B66">
        <w:rPr>
          <w:sz w:val="18"/>
          <w:rtl/>
        </w:rPr>
        <w:t>יט</w:t>
      </w:r>
      <w:proofErr w:type="spellEnd"/>
      <w:r w:rsidRPr="001A0B66">
        <w:rPr>
          <w:sz w:val="18"/>
          <w:rtl/>
        </w:rPr>
        <w:t xml:space="preserve"> לפסק דינו): "ישראל היא מדינה נורמלית שאינה נורמלית". למרבה העצב, האקדמיה המשפטית מקדישה מעט מאוד מחקר, הוראה וביקורת לנתיב הקשה והחשוב הזה של הראיות החסויות. חריגים חשובים לכך (חלקם מחוץ לאקדמיה המשפטית הישראלית) מופיעים </w:t>
      </w:r>
      <w:proofErr w:type="spellStart"/>
      <w:r w:rsidRPr="001A0B66">
        <w:rPr>
          <w:sz w:val="18"/>
          <w:rtl/>
        </w:rPr>
        <w:t>בה"ש</w:t>
      </w:r>
      <w:proofErr w:type="spellEnd"/>
      <w:r w:rsidRPr="001A0B66">
        <w:rPr>
          <w:sz w:val="18"/>
          <w:rtl/>
        </w:rPr>
        <w:t xml:space="preserve"> 5 ו 7 לעיל ובהערות שלהלן. ראו עוד: מרדכי </w:t>
      </w:r>
      <w:proofErr w:type="spellStart"/>
      <w:r w:rsidRPr="001A0B66">
        <w:rPr>
          <w:sz w:val="18"/>
          <w:rtl/>
        </w:rPr>
        <w:t>קרמניצר</w:t>
      </w:r>
      <w:proofErr w:type="spellEnd"/>
      <w:r w:rsidRPr="001A0B66">
        <w:rPr>
          <w:sz w:val="18"/>
          <w:rtl/>
        </w:rPr>
        <w:t xml:space="preserve">, אביעד בן יהודה, נמרוד </w:t>
      </w:r>
      <w:proofErr w:type="spellStart"/>
      <w:r w:rsidRPr="001A0B66">
        <w:rPr>
          <w:sz w:val="18"/>
          <w:rtl/>
        </w:rPr>
        <w:t>רוזלר</w:t>
      </w:r>
      <w:proofErr w:type="spellEnd"/>
      <w:r w:rsidRPr="001A0B66">
        <w:rPr>
          <w:sz w:val="18"/>
          <w:rtl/>
        </w:rPr>
        <w:t xml:space="preserve">, גיל רוטשילד </w:t>
      </w:r>
      <w:proofErr w:type="spellStart"/>
      <w:r w:rsidRPr="001A0B66">
        <w:rPr>
          <w:sz w:val="18"/>
          <w:rtl/>
        </w:rPr>
        <w:t>אליאסי</w:t>
      </w:r>
      <w:proofErr w:type="spellEnd"/>
      <w:r w:rsidRPr="001A0B66">
        <w:rPr>
          <w:sz w:val="18"/>
          <w:rtl/>
        </w:rPr>
        <w:t xml:space="preserve"> ויונתן רום </w:t>
      </w:r>
      <w:r w:rsidRPr="001A0B66">
        <w:rPr>
          <w:b/>
          <w:bCs/>
          <w:sz w:val="18"/>
          <w:rtl/>
        </w:rPr>
        <w:t>על חבל דק – המאבק בטרור והמחויבות לזכויות אדם</w:t>
      </w:r>
      <w:r w:rsidRPr="001A0B66">
        <w:rPr>
          <w:sz w:val="18"/>
          <w:rtl/>
        </w:rPr>
        <w:t xml:space="preserve"> (2017) (להלן: </w:t>
      </w:r>
      <w:proofErr w:type="spellStart"/>
      <w:r w:rsidRPr="001A0B66">
        <w:rPr>
          <w:sz w:val="18"/>
          <w:rtl/>
        </w:rPr>
        <w:t>קרמניצר</w:t>
      </w:r>
      <w:proofErr w:type="spellEnd"/>
      <w:r w:rsidRPr="001A0B66">
        <w:rPr>
          <w:sz w:val="18"/>
          <w:rtl/>
        </w:rPr>
        <w:t xml:space="preserve"> ואחרים), בפרק 3 בעיקר. עבודה זו מסתמכת מצידה על שתי עבודות קודמות, חשובות מאוד אף הן; האחת היא עבודתה של קרבס, לעיל </w:t>
      </w:r>
      <w:proofErr w:type="spellStart"/>
      <w:r w:rsidRPr="001A0B66">
        <w:rPr>
          <w:sz w:val="18"/>
          <w:rtl/>
        </w:rPr>
        <w:t>ה"ש</w:t>
      </w:r>
      <w:proofErr w:type="spellEnd"/>
      <w:r w:rsidRPr="001A0B66">
        <w:rPr>
          <w:sz w:val="18"/>
          <w:rtl/>
        </w:rPr>
        <w:t xml:space="preserve"> 5; והאחרת היא מאמר הסוקר שני מודלים להתמודדות עם השימוש בראיות חסויות שבהם נעסוק בהמשך ("הניהול השיפוטי" ו"הפרקליט המיוחד") ומשווה ביניהם: </w:t>
      </w:r>
      <w:r w:rsidRPr="001A0B66">
        <w:rPr>
          <w:sz w:val="18"/>
          <w:lang w:bidi="ar-SY"/>
        </w:rPr>
        <w:t xml:space="preserve">Daphne Barak-Erez &amp; Matthew C. Waxman, </w:t>
      </w:r>
      <w:r w:rsidRPr="001A0B66">
        <w:rPr>
          <w:i/>
          <w:iCs/>
          <w:sz w:val="18"/>
          <w:lang w:bidi="ar-SY"/>
        </w:rPr>
        <w:t>S</w:t>
      </w:r>
      <w:r w:rsidRPr="001A0B66">
        <w:rPr>
          <w:i/>
          <w:iCs/>
          <w:sz w:val="18"/>
        </w:rPr>
        <w:t xml:space="preserve">ecret </w:t>
      </w:r>
      <w:proofErr w:type="gramStart"/>
      <w:r w:rsidRPr="001A0B66">
        <w:rPr>
          <w:i/>
          <w:iCs/>
          <w:sz w:val="18"/>
        </w:rPr>
        <w:t>Evidence</w:t>
      </w:r>
      <w:proofErr w:type="gramEnd"/>
      <w:r w:rsidRPr="001A0B66">
        <w:rPr>
          <w:i/>
          <w:iCs/>
          <w:sz w:val="18"/>
        </w:rPr>
        <w:t xml:space="preserve"> and the Due Process of Terrorist Detentions</w:t>
      </w:r>
      <w:r w:rsidRPr="001A0B66">
        <w:rPr>
          <w:sz w:val="18"/>
        </w:rPr>
        <w:t xml:space="preserve">, 48 </w:t>
      </w:r>
      <w:r w:rsidRPr="001A0B66">
        <w:rPr>
          <w:smallCaps/>
          <w:sz w:val="18"/>
        </w:rPr>
        <w:t xml:space="preserve">Colum. J. </w:t>
      </w:r>
      <w:proofErr w:type="spellStart"/>
      <w:r w:rsidRPr="001A0B66">
        <w:rPr>
          <w:smallCaps/>
          <w:sz w:val="18"/>
        </w:rPr>
        <w:t>Transnat'l</w:t>
      </w:r>
      <w:proofErr w:type="spellEnd"/>
      <w:r w:rsidRPr="001A0B66">
        <w:rPr>
          <w:smallCaps/>
          <w:sz w:val="18"/>
        </w:rPr>
        <w:t xml:space="preserve"> L.</w:t>
      </w:r>
      <w:r w:rsidRPr="001A0B66">
        <w:rPr>
          <w:sz w:val="18"/>
        </w:rPr>
        <w:t xml:space="preserve"> 3 (2009)</w:t>
      </w:r>
      <w:r w:rsidRPr="001A0B66">
        <w:rPr>
          <w:sz w:val="18"/>
          <w:rtl/>
        </w:rPr>
        <w:t xml:space="preserve"> (להלן: ברק-ארז </w:t>
      </w:r>
      <w:proofErr w:type="spellStart"/>
      <w:r w:rsidRPr="001A0B66">
        <w:rPr>
          <w:sz w:val="18"/>
          <w:rtl/>
        </w:rPr>
        <w:t>ווקסמן</w:t>
      </w:r>
      <w:proofErr w:type="spellEnd"/>
      <w:r w:rsidRPr="001A0B66">
        <w:rPr>
          <w:sz w:val="18"/>
          <w:rtl/>
        </w:rPr>
        <w:t xml:space="preserve">). וראו גם: </w:t>
      </w:r>
      <w:r w:rsidRPr="001A0B66">
        <w:rPr>
          <w:sz w:val="18"/>
        </w:rPr>
        <w:t xml:space="preserve">John Ip, </w:t>
      </w:r>
      <w:r w:rsidRPr="001A0B66">
        <w:rPr>
          <w:i/>
          <w:iCs/>
          <w:sz w:val="18"/>
        </w:rPr>
        <w:t>The Rise and Spread of the Special Advocate,</w:t>
      </w:r>
      <w:r w:rsidRPr="001A0B66">
        <w:rPr>
          <w:b/>
          <w:bCs/>
          <w:sz w:val="18"/>
        </w:rPr>
        <w:t xml:space="preserve"> </w:t>
      </w:r>
      <w:r w:rsidRPr="001A0B66">
        <w:rPr>
          <w:sz w:val="18"/>
        </w:rPr>
        <w:t>Pub. L. 717 (2008)</w:t>
      </w:r>
      <w:r w:rsidRPr="001A0B66">
        <w:rPr>
          <w:i/>
          <w:iCs/>
          <w:sz w:val="18"/>
          <w:rtl/>
        </w:rPr>
        <w:t xml:space="preserve"> </w:t>
      </w:r>
      <w:r w:rsidRPr="001A0B66">
        <w:rPr>
          <w:sz w:val="18"/>
          <w:rtl/>
        </w:rPr>
        <w:t xml:space="preserve">(להלן: </w:t>
      </w:r>
      <w:proofErr w:type="spellStart"/>
      <w:r w:rsidRPr="001A0B66">
        <w:rPr>
          <w:sz w:val="18"/>
          <w:rtl/>
        </w:rPr>
        <w:t>איפ</w:t>
      </w:r>
      <w:proofErr w:type="spellEnd"/>
      <w:r w:rsidRPr="001A0B66">
        <w:rPr>
          <w:sz w:val="18"/>
          <w:rtl/>
        </w:rPr>
        <w:t>).</w:t>
      </w:r>
    </w:p>
  </w:footnote>
  <w:footnote w:id="10">
    <w:p w14:paraId="213E6E54"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7; קרבס, לעיל </w:t>
      </w:r>
      <w:proofErr w:type="spellStart"/>
      <w:r w:rsidRPr="001A0B66">
        <w:rPr>
          <w:sz w:val="18"/>
          <w:rtl/>
        </w:rPr>
        <w:t>ה"ש</w:t>
      </w:r>
      <w:proofErr w:type="spellEnd"/>
      <w:r w:rsidRPr="001A0B66">
        <w:rPr>
          <w:sz w:val="18"/>
          <w:rtl/>
        </w:rPr>
        <w:t xml:space="preserve"> 5. </w:t>
      </w:r>
    </w:p>
  </w:footnote>
  <w:footnote w:id="11">
    <w:p w14:paraId="731B5FFC" w14:textId="77777777" w:rsidR="0019600D" w:rsidRDefault="00BF2A23" w:rsidP="007616FA">
      <w:pPr>
        <w:pStyle w:val="FootnoteText"/>
        <w:spacing w:after="60"/>
      </w:pPr>
      <w:r w:rsidRPr="001A0B66">
        <w:rPr>
          <w:rStyle w:val="FootnoteReference"/>
        </w:rPr>
        <w:footnoteRef/>
      </w:r>
      <w:r w:rsidRPr="001A0B66">
        <w:rPr>
          <w:rtl/>
        </w:rPr>
        <w:t xml:space="preserve"> </w:t>
      </w:r>
      <w:r w:rsidRPr="001A0B66">
        <w:rPr>
          <w:rtl/>
        </w:rPr>
        <w:tab/>
      </w:r>
      <w:r w:rsidR="007616FA" w:rsidRPr="002E5B59">
        <w:rPr>
          <w:sz w:val="18"/>
          <w:rtl/>
        </w:rPr>
        <w:t>ראו בעיקר:</w:t>
      </w:r>
      <w:r w:rsidR="007616FA" w:rsidRPr="00BF2A23">
        <w:rPr>
          <w:sz w:val="18"/>
          <w:rtl/>
        </w:rPr>
        <w:t xml:space="preserve"> </w:t>
      </w:r>
      <w:proofErr w:type="spellStart"/>
      <w:r w:rsidR="007616FA" w:rsidRPr="00BF2A23">
        <w:rPr>
          <w:sz w:val="18"/>
          <w:rtl/>
        </w:rPr>
        <w:t>פרייז</w:t>
      </w:r>
      <w:proofErr w:type="spellEnd"/>
      <w:r w:rsidR="007616FA" w:rsidRPr="00BF2A23">
        <w:rPr>
          <w:sz w:val="18"/>
          <w:rtl/>
        </w:rPr>
        <w:t xml:space="preserve"> ונון</w:t>
      </w:r>
      <w:r w:rsidR="007616FA">
        <w:rPr>
          <w:sz w:val="18"/>
          <w:rtl/>
        </w:rPr>
        <w:t xml:space="preserve">, לעיל </w:t>
      </w:r>
      <w:proofErr w:type="spellStart"/>
      <w:r w:rsidR="007616FA">
        <w:rPr>
          <w:sz w:val="18"/>
          <w:rtl/>
        </w:rPr>
        <w:t>ה"ש</w:t>
      </w:r>
      <w:proofErr w:type="spellEnd"/>
      <w:r w:rsidR="007616FA">
        <w:rPr>
          <w:sz w:val="18"/>
          <w:rtl/>
        </w:rPr>
        <w:t xml:space="preserve"> 7,</w:t>
      </w:r>
      <w:r w:rsidR="007616FA" w:rsidRPr="00BF2A23">
        <w:rPr>
          <w:sz w:val="18"/>
          <w:rtl/>
        </w:rPr>
        <w:t xml:space="preserve"> עמ' 79, </w:t>
      </w:r>
      <w:r w:rsidR="007616FA">
        <w:rPr>
          <w:sz w:val="18"/>
          <w:rtl/>
        </w:rPr>
        <w:t xml:space="preserve">82-81, 170; </w:t>
      </w:r>
      <w:r w:rsidR="007616FA" w:rsidRPr="00B538A7">
        <w:rPr>
          <w:sz w:val="18"/>
          <w:rtl/>
        </w:rPr>
        <w:t xml:space="preserve">קרבס, לעיל </w:t>
      </w:r>
      <w:proofErr w:type="spellStart"/>
      <w:r w:rsidR="007616FA" w:rsidRPr="00B538A7">
        <w:rPr>
          <w:sz w:val="18"/>
          <w:rtl/>
        </w:rPr>
        <w:t>ה"ש</w:t>
      </w:r>
      <w:proofErr w:type="spellEnd"/>
      <w:r w:rsidR="007616FA" w:rsidRPr="00B538A7">
        <w:rPr>
          <w:sz w:val="18"/>
          <w:rtl/>
        </w:rPr>
        <w:t xml:space="preserve"> 5, עמ' 181; רינת </w:t>
      </w:r>
      <w:proofErr w:type="spellStart"/>
      <w:r w:rsidR="007616FA" w:rsidRPr="00B538A7">
        <w:rPr>
          <w:sz w:val="18"/>
          <w:rtl/>
        </w:rPr>
        <w:t>קיטאי-סנג'רו</w:t>
      </w:r>
      <w:proofErr w:type="spellEnd"/>
      <w:r w:rsidR="007616FA" w:rsidRPr="00B538A7">
        <w:rPr>
          <w:sz w:val="18"/>
          <w:rtl/>
        </w:rPr>
        <w:t xml:space="preserve">, </w:t>
      </w:r>
      <w:r w:rsidR="007616FA" w:rsidRPr="00B538A7">
        <w:rPr>
          <w:b/>
          <w:bCs/>
          <w:rtl/>
        </w:rPr>
        <w:t>המעצר: שלילת החירות בטרם הכרעת הדין</w:t>
      </w:r>
      <w:r w:rsidR="007616FA" w:rsidRPr="00B538A7">
        <w:rPr>
          <w:rtl/>
        </w:rPr>
        <w:t xml:space="preserve"> (2011), </w:t>
      </w:r>
      <w:r w:rsidR="007616FA" w:rsidRPr="00B538A7">
        <w:rPr>
          <w:sz w:val="18"/>
          <w:rtl/>
        </w:rPr>
        <w:t xml:space="preserve"> עמ' 136 (שם, </w:t>
      </w:r>
      <w:proofErr w:type="spellStart"/>
      <w:r w:rsidR="007616FA" w:rsidRPr="00B538A7">
        <w:rPr>
          <w:sz w:val="18"/>
          <w:rtl/>
        </w:rPr>
        <w:t>ה"ש</w:t>
      </w:r>
      <w:proofErr w:type="spellEnd"/>
      <w:r w:rsidR="007616FA" w:rsidRPr="00B538A7">
        <w:rPr>
          <w:sz w:val="18"/>
          <w:rtl/>
        </w:rPr>
        <w:t xml:space="preserve"> 135)</w:t>
      </w:r>
      <w:r w:rsidR="007616FA" w:rsidRPr="00B538A7">
        <w:rPr>
          <w:sz w:val="18"/>
          <w:szCs w:val="24"/>
          <w:rtl/>
        </w:rPr>
        <w:t xml:space="preserve"> </w:t>
      </w:r>
      <w:r w:rsidR="007616FA" w:rsidRPr="00B538A7">
        <w:rPr>
          <w:sz w:val="18"/>
          <w:rtl/>
        </w:rPr>
        <w:t xml:space="preserve">להלן: </w:t>
      </w:r>
      <w:proofErr w:type="spellStart"/>
      <w:r w:rsidR="007616FA" w:rsidRPr="00B538A7">
        <w:rPr>
          <w:sz w:val="18"/>
          <w:rtl/>
        </w:rPr>
        <w:t>קיטאי-סנג'רו</w:t>
      </w:r>
      <w:proofErr w:type="spellEnd"/>
      <w:r w:rsidR="007616FA" w:rsidRPr="00B538A7">
        <w:rPr>
          <w:sz w:val="18"/>
          <w:rtl/>
        </w:rPr>
        <w:t xml:space="preserve">); </w:t>
      </w:r>
      <w:proofErr w:type="spellStart"/>
      <w:r w:rsidR="007616FA" w:rsidRPr="00B538A7">
        <w:rPr>
          <w:sz w:val="18"/>
          <w:rtl/>
        </w:rPr>
        <w:t>קרמניצר</w:t>
      </w:r>
      <w:proofErr w:type="spellEnd"/>
      <w:r w:rsidR="007616FA" w:rsidRPr="00B538A7">
        <w:rPr>
          <w:sz w:val="18"/>
          <w:rtl/>
        </w:rPr>
        <w:t xml:space="preserve"> ואחרים, לעיל </w:t>
      </w:r>
      <w:proofErr w:type="spellStart"/>
      <w:r w:rsidR="007616FA" w:rsidRPr="00B538A7">
        <w:rPr>
          <w:sz w:val="18"/>
          <w:rtl/>
        </w:rPr>
        <w:t>ה"ש</w:t>
      </w:r>
      <w:proofErr w:type="spellEnd"/>
      <w:r w:rsidR="007616FA" w:rsidRPr="00B538A7">
        <w:rPr>
          <w:sz w:val="18"/>
          <w:rtl/>
        </w:rPr>
        <w:t xml:space="preserve"> 8, עמ' 135.</w:t>
      </w:r>
      <w:r>
        <w:rPr>
          <w:sz w:val="18"/>
          <w:rtl/>
        </w:rPr>
        <w:t xml:space="preserve"> </w:t>
      </w:r>
    </w:p>
  </w:footnote>
  <w:footnote w:id="12">
    <w:p w14:paraId="7C3E2DB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Pr>
        <w:fldChar w:fldCharType="begin"/>
      </w:r>
      <w:r w:rsidRPr="001A0B66">
        <w:rPr>
          <w:sz w:val="18"/>
        </w:rPr>
        <w:instrText xml:space="preserve"> ADDIN ZOTERO_ITEM CSL_CITATION {"citationID":"MQKQsaTQ","properties":{"formattedCitation":"{\\scaps Yoav Mehozay}, {\\scaps Between the Rule of Law and States of Exception: The Fluid Jurisprudence of the Israeli Regime} (2016).","plainCitation":"Yoav Mehozay, Between the Rule of Law and States of Exception: The Fluid Jurisprudence of the Israeli Regime (2016).","noteIndex":9},"citationItems":[{"id":167,"uris":["http://zotero.org/users/4596729/items/U665VE2M"],"uri":["http://zotero.org/users/4596729/items/U665VE2M"],"itemData":{"id":167,"type":"book","publisher":"State University of New York Press","title":"Between the Rule of Law and States of Exception: The Fluid Jurisprudence of the Israeli Regime","author":[{"family":"Mehozay","given":"Yoav"}],"issued":{"date-parts":[["2016"]]}}}],"schema":"https://github.com/citation-style-language/schema/raw/master/csl-citation.json"} </w:instrText>
      </w:r>
      <w:r w:rsidRPr="001A0B66">
        <w:rPr>
          <w:sz w:val="18"/>
        </w:rPr>
        <w:fldChar w:fldCharType="separate"/>
      </w:r>
      <w:r w:rsidRPr="001A0B66">
        <w:rPr>
          <w:smallCaps/>
          <w:sz w:val="18"/>
          <w:szCs w:val="24"/>
        </w:rPr>
        <w:t>Yoav Mehozay</w:t>
      </w:r>
      <w:r w:rsidRPr="001A0B66">
        <w:rPr>
          <w:sz w:val="18"/>
          <w:szCs w:val="24"/>
        </w:rPr>
        <w:t xml:space="preserve">, </w:t>
      </w:r>
      <w:r w:rsidRPr="001A0B66">
        <w:rPr>
          <w:smallCaps/>
          <w:sz w:val="18"/>
          <w:szCs w:val="24"/>
        </w:rPr>
        <w:t>Between the Rule of Law and States of Exception: The Fluid Jurisprudence of the Israeli Regime 8-20</w:t>
      </w:r>
      <w:r w:rsidRPr="001A0B66">
        <w:rPr>
          <w:sz w:val="18"/>
          <w:szCs w:val="24"/>
        </w:rPr>
        <w:t xml:space="preserve"> (2016)</w:t>
      </w:r>
      <w:r w:rsidRPr="001A0B66">
        <w:rPr>
          <w:sz w:val="18"/>
        </w:rPr>
        <w:fldChar w:fldCharType="end"/>
      </w:r>
      <w:r w:rsidRPr="001A0B66">
        <w:rPr>
          <w:sz w:val="18"/>
          <w:rtl/>
        </w:rPr>
        <w:t>.</w:t>
      </w:r>
    </w:p>
  </w:footnote>
  <w:footnote w:id="13">
    <w:p w14:paraId="786CF0B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rtl/>
        </w:rPr>
        <w:t>שם.</w:t>
      </w:r>
    </w:p>
  </w:footnote>
  <w:footnote w:id="14">
    <w:p w14:paraId="065A921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אכן במישור המציאות המעצר </w:t>
      </w:r>
      <w:proofErr w:type="spellStart"/>
      <w:r w:rsidRPr="001A0B66">
        <w:rPr>
          <w:sz w:val="18"/>
          <w:rtl/>
        </w:rPr>
        <w:t>המינהלי</w:t>
      </w:r>
      <w:proofErr w:type="spellEnd"/>
      <w:r w:rsidRPr="001A0B66">
        <w:rPr>
          <w:sz w:val="18"/>
          <w:rtl/>
        </w:rPr>
        <w:t xml:space="preserve"> מצוי עימנו כל העת – במשך שנים ארוכות מאוד – והוא יציב ו"בועט", מבלי שההתנגדות כלפיו מערערת את ההתמדה בקיומו ובשימוש בו. ראו המקורות הנזכרים </w:t>
      </w:r>
      <w:proofErr w:type="spellStart"/>
      <w:r w:rsidRPr="001A0B66">
        <w:rPr>
          <w:sz w:val="18"/>
          <w:rtl/>
        </w:rPr>
        <w:t>בה"ש</w:t>
      </w:r>
      <w:proofErr w:type="spellEnd"/>
      <w:r w:rsidRPr="001A0B66">
        <w:rPr>
          <w:sz w:val="18"/>
          <w:rtl/>
        </w:rPr>
        <w:t xml:space="preserve"> 5, 7 ו 8 לעיל. וכך גם לאחר שעצורים מנהליים שבתו רעב במחאה נגדו וחלקם היו על סף מוות – הוא נותר על כנו, ואף הוליד חקיקה שלא נועדה למתנו אלא "לגונן" עליו באמצעות מתן סמכות להזנה בכפייה שמכשירה פגיעה קשה בעצורים. חוק לתיקון פקודת בתי הסוהר (מס' 48), </w:t>
      </w:r>
      <w:proofErr w:type="spellStart"/>
      <w:r w:rsidRPr="001A0B66">
        <w:rPr>
          <w:sz w:val="18"/>
          <w:rtl/>
        </w:rPr>
        <w:t>התשע"ה</w:t>
      </w:r>
      <w:proofErr w:type="spellEnd"/>
      <w:r w:rsidRPr="001A0B66">
        <w:rPr>
          <w:sz w:val="18"/>
          <w:rtl/>
        </w:rPr>
        <w:t xml:space="preserve">–2015. עתירה נגד חוקתיות החוק נדחתה. בג"ץ 5304/15 </w:t>
      </w:r>
      <w:r w:rsidRPr="001A0B66">
        <w:rPr>
          <w:b/>
          <w:bCs/>
          <w:sz w:val="18"/>
          <w:rtl/>
        </w:rPr>
        <w:t>ההסתדרות הרפואית בישראל נ' כנסת ישראל</w:t>
      </w:r>
      <w:r w:rsidRPr="001A0B66">
        <w:rPr>
          <w:sz w:val="18"/>
          <w:rtl/>
        </w:rPr>
        <w:t xml:space="preserve"> (פורסם בנבו, 11.9.2016).</w:t>
      </w:r>
    </w:p>
  </w:footnote>
  <w:footnote w:id="15">
    <w:p w14:paraId="5BA34376" w14:textId="77777777" w:rsidR="0019600D" w:rsidRDefault="0091227C" w:rsidP="00E157D9">
      <w:pPr>
        <w:pStyle w:val="FootnoteText"/>
        <w:spacing w:after="60"/>
      </w:pPr>
      <w:r w:rsidRPr="001A0B66">
        <w:rPr>
          <w:rStyle w:val="FootnoteReference"/>
        </w:rPr>
        <w:footnoteRef/>
      </w:r>
      <w:r w:rsidRPr="001A0B66">
        <w:rPr>
          <w:rtl/>
        </w:rPr>
        <w:t xml:space="preserve"> </w:t>
      </w:r>
      <w:r w:rsidRPr="001A0B66">
        <w:rPr>
          <w:rtl/>
        </w:rPr>
        <w:tab/>
      </w:r>
      <w:r w:rsidRPr="001A0B66">
        <w:rPr>
          <w:sz w:val="18"/>
          <w:rtl/>
        </w:rPr>
        <w:t xml:space="preserve">ס' 15(ג) לחוק סדר הדין הפלילי (סמכויות אכיפה – מעצרים), </w:t>
      </w:r>
      <w:proofErr w:type="spellStart"/>
      <w:r w:rsidRPr="001A0B66">
        <w:rPr>
          <w:sz w:val="18"/>
          <w:rtl/>
        </w:rPr>
        <w:t>התשנ"ו</w:t>
      </w:r>
      <w:proofErr w:type="spellEnd"/>
      <w:r w:rsidRPr="001A0B66">
        <w:rPr>
          <w:sz w:val="18"/>
          <w:rtl/>
        </w:rPr>
        <w:t>–1996.</w:t>
      </w:r>
      <w:r w:rsidRPr="001A0B66">
        <w:rPr>
          <w:sz w:val="24"/>
          <w:rtl/>
        </w:rPr>
        <w:t xml:space="preserve"> יתר על כן, קיימים סייגים גם על יכולתן של התביעה ושל המשטרה לחסות ראיות בשלבי הארכת מעצר בהליכים פליליים, ראו </w:t>
      </w:r>
      <w:proofErr w:type="spellStart"/>
      <w:r w:rsidRPr="001A0B66">
        <w:rPr>
          <w:rtl/>
        </w:rPr>
        <w:t>קיטאי-סנג'רו</w:t>
      </w:r>
      <w:proofErr w:type="spellEnd"/>
      <w:r w:rsidRPr="001A0B66">
        <w:rPr>
          <w:rtl/>
        </w:rPr>
        <w:t xml:space="preserve">, </w:t>
      </w:r>
      <w:r w:rsidR="00947C43">
        <w:rPr>
          <w:rtl/>
        </w:rPr>
        <w:t xml:space="preserve">לעיל </w:t>
      </w:r>
      <w:proofErr w:type="spellStart"/>
      <w:r w:rsidR="00947C43">
        <w:rPr>
          <w:rtl/>
        </w:rPr>
        <w:t>ה"ש</w:t>
      </w:r>
      <w:proofErr w:type="spellEnd"/>
      <w:r w:rsidR="00947C43">
        <w:rPr>
          <w:rtl/>
        </w:rPr>
        <w:t xml:space="preserve"> 10, </w:t>
      </w:r>
      <w:r w:rsidRPr="001A0B66">
        <w:rPr>
          <w:rtl/>
        </w:rPr>
        <w:t>בעמ' 313-311.</w:t>
      </w:r>
    </w:p>
  </w:footnote>
  <w:footnote w:id="16">
    <w:p w14:paraId="215FEE2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לעיל</w:t>
      </w:r>
      <w:r w:rsidR="006F2B10">
        <w:rPr>
          <w:sz w:val="18"/>
          <w:rtl/>
        </w:rPr>
        <w:t>,</w:t>
      </w:r>
      <w:r w:rsidRPr="001A0B66">
        <w:rPr>
          <w:sz w:val="18"/>
          <w:rtl/>
        </w:rPr>
        <w:t xml:space="preserve"> </w:t>
      </w:r>
      <w:proofErr w:type="spellStart"/>
      <w:r w:rsidRPr="001A0B66">
        <w:rPr>
          <w:sz w:val="18"/>
          <w:rtl/>
        </w:rPr>
        <w:t>ה"ש</w:t>
      </w:r>
      <w:proofErr w:type="spellEnd"/>
      <w:r w:rsidRPr="001A0B66">
        <w:rPr>
          <w:sz w:val="18"/>
          <w:rtl/>
        </w:rPr>
        <w:t xml:space="preserve"> 2 והטקסט המלווה אותה.</w:t>
      </w:r>
    </w:p>
  </w:footnote>
  <w:footnote w:id="17">
    <w:p w14:paraId="7840BB7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אילן סבן "השפעת בית המשפט העליון על מעמד הערבים בישראל" </w:t>
      </w:r>
      <w:r w:rsidRPr="001A0B66">
        <w:rPr>
          <w:b/>
          <w:bCs/>
          <w:sz w:val="18"/>
          <w:rtl/>
        </w:rPr>
        <w:t>משפט וממשל</w:t>
      </w:r>
      <w:r w:rsidRPr="001A0B66">
        <w:rPr>
          <w:sz w:val="18"/>
          <w:rtl/>
        </w:rPr>
        <w:t xml:space="preserve"> ג 541, 551 (1996); אילן סבן "המשפט והמיעוט </w:t>
      </w:r>
      <w:proofErr w:type="spellStart"/>
      <w:r w:rsidRPr="001A0B66">
        <w:rPr>
          <w:sz w:val="18"/>
          <w:rtl/>
        </w:rPr>
        <w:t>הערבי־פלסטיני</w:t>
      </w:r>
      <w:proofErr w:type="spellEnd"/>
      <w:r w:rsidRPr="001A0B66">
        <w:rPr>
          <w:sz w:val="18"/>
          <w:rtl/>
        </w:rPr>
        <w:t xml:space="preserve"> בשלושת העשורים הראשונים למדינה: מתכונת הפיקוח" </w:t>
      </w:r>
      <w:r w:rsidRPr="001A0B66">
        <w:rPr>
          <w:b/>
          <w:bCs/>
          <w:sz w:val="18"/>
          <w:rtl/>
        </w:rPr>
        <w:t>מחקרי משפט</w:t>
      </w:r>
      <w:r w:rsidRPr="001A0B66">
        <w:rPr>
          <w:sz w:val="18"/>
          <w:rtl/>
        </w:rPr>
        <w:t xml:space="preserve"> כד 565, 599 (2008).</w:t>
      </w:r>
    </w:p>
  </w:footnote>
  <w:footnote w:id="18">
    <w:p w14:paraId="6664A7E2"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השוו: בג"ץ 3166/14 </w:t>
      </w:r>
      <w:r w:rsidRPr="001A0B66">
        <w:rPr>
          <w:b/>
          <w:bCs/>
          <w:sz w:val="18"/>
          <w:rtl/>
        </w:rPr>
        <w:t>גוטמן נ' היועץ המשפטי לממשלה</w:t>
      </w:r>
      <w:r w:rsidRPr="001A0B66">
        <w:rPr>
          <w:sz w:val="18"/>
          <w:rtl/>
        </w:rPr>
        <w:t xml:space="preserve"> (פורסם בנבו, 12.3.2015). עתירה נגד העלאת אחוז החסימה נדחתה בדעת רוב כנגד עמדתו החולקת של השופט ג'ובראן, בעילת הסף של היעדר בשלות.</w:t>
      </w:r>
    </w:p>
  </w:footnote>
  <w:footnote w:id="19">
    <w:p w14:paraId="3E89796B" w14:textId="77777777" w:rsidR="0019600D" w:rsidRDefault="0091227C" w:rsidP="00E157D9">
      <w:pPr>
        <w:pStyle w:val="FootnoteText"/>
        <w:spacing w:after="60"/>
      </w:pPr>
      <w:r w:rsidRPr="001A0B66">
        <w:rPr>
          <w:rStyle w:val="FootnoteReference"/>
        </w:rPr>
        <w:footnoteRef/>
      </w:r>
      <w:r w:rsidRPr="001A0B66">
        <w:rPr>
          <w:rtl/>
        </w:rPr>
        <w:t xml:space="preserve"> </w:t>
      </w:r>
      <w:r w:rsidRPr="001A0B66">
        <w:rPr>
          <w:rtl/>
        </w:rPr>
        <w:tab/>
        <w:t xml:space="preserve"> </w:t>
      </w:r>
      <w:r w:rsidRPr="001A0B66">
        <w:rPr>
          <w:rtl/>
        </w:rPr>
        <w:t>ביחס לאזרחי ישראל הערבים, כבר מראשית המדינה, ראו:</w:t>
      </w:r>
      <w:r w:rsidRPr="001A0B66">
        <w:rPr>
          <w:smallCaps/>
        </w:rPr>
        <w:t xml:space="preserve">Sabri </w:t>
      </w:r>
      <w:proofErr w:type="spellStart"/>
      <w:r w:rsidRPr="001A0B66">
        <w:rPr>
          <w:smallCaps/>
        </w:rPr>
        <w:t>Jiryis</w:t>
      </w:r>
      <w:proofErr w:type="spellEnd"/>
      <w:r w:rsidRPr="001A0B66">
        <w:rPr>
          <w:smallCaps/>
        </w:rPr>
        <w:t>, The Arabs in Israel</w:t>
      </w:r>
      <w:r w:rsidRPr="001A0B66">
        <w:t>, 29-30 (1976)</w:t>
      </w:r>
      <w:r w:rsidR="00BF017C">
        <w:t>;</w:t>
      </w:r>
      <w:r w:rsidR="007616FA" w:rsidRPr="007616FA">
        <w:t xml:space="preserve"> </w:t>
      </w:r>
      <w:r w:rsidR="007616FA">
        <w:t xml:space="preserve">Alan </w:t>
      </w:r>
      <w:proofErr w:type="spellStart"/>
      <w:r w:rsidR="007616FA">
        <w:t>Dowty</w:t>
      </w:r>
      <w:proofErr w:type="spellEnd"/>
      <w:r w:rsidR="007616FA">
        <w:t>, The Use of Emergency Powers in Israel, 21 Middle East Review 34-46 (1988)</w:t>
      </w:r>
      <w:r w:rsidRPr="001A0B66">
        <w:rPr>
          <w:rtl/>
        </w:rPr>
        <w:t>; ביחס לתושבי השטחים ראו הערה 7 לעיל.</w:t>
      </w:r>
      <w:r w:rsidRPr="001A0B66">
        <w:t xml:space="preserve"> </w:t>
      </w:r>
    </w:p>
  </w:footnote>
  <w:footnote w:id="20">
    <w:p w14:paraId="3B03E26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bookmarkStart w:id="27" w:name="_Hlk41495286"/>
      <w:r w:rsidRPr="001A0B66">
        <w:rPr>
          <w:sz w:val="18"/>
          <w:rtl/>
        </w:rPr>
        <w:t xml:space="preserve">עם זאת, חשוב להוסיף כי ההקרנה ההיקפית נעקפת מעת לעת בהנמקות שונות, שתכופות רחוקות מלשכנע. ראו למשל את הנמקות המדינה וחלק מהשופטים בניסיון להצדיק את ההבדלים בין תגובות השלטון למפגעים יהודים ולמפגעים ערבים: הנמקתו של השופט </w:t>
      </w:r>
      <w:proofErr w:type="spellStart"/>
      <w:r w:rsidRPr="001A0B66">
        <w:rPr>
          <w:sz w:val="18"/>
          <w:rtl/>
        </w:rPr>
        <w:t>סולברג</w:t>
      </w:r>
      <w:proofErr w:type="spellEnd"/>
      <w:r w:rsidRPr="001A0B66">
        <w:rPr>
          <w:sz w:val="18"/>
          <w:rtl/>
        </w:rPr>
        <w:t xml:space="preserve"> בהקשרה של הסמכות הנתונה בתקנות ההגנה להריסת בתים בבג"ץ 8091/14 </w:t>
      </w:r>
      <w:r w:rsidRPr="001A0B66">
        <w:rPr>
          <w:b/>
          <w:bCs/>
          <w:sz w:val="18"/>
          <w:rtl/>
        </w:rPr>
        <w:t>המוקד להגנת הפרט נ' שר הביטחון</w:t>
      </w:r>
      <w:r w:rsidRPr="001A0B66">
        <w:rPr>
          <w:sz w:val="18"/>
          <w:rtl/>
        </w:rPr>
        <w:t xml:space="preserve"> (פורסם בנבו, 31.12.2014) ובבג"ץ 7040/15 </w:t>
      </w:r>
      <w:proofErr w:type="spellStart"/>
      <w:r w:rsidRPr="001A0B66">
        <w:rPr>
          <w:b/>
          <w:bCs/>
          <w:sz w:val="18"/>
          <w:rtl/>
        </w:rPr>
        <w:t>חמאד</w:t>
      </w:r>
      <w:proofErr w:type="spellEnd"/>
      <w:r w:rsidRPr="001A0B66">
        <w:rPr>
          <w:b/>
          <w:bCs/>
          <w:sz w:val="18"/>
          <w:rtl/>
        </w:rPr>
        <w:t xml:space="preserve"> נ' המפקד הצבאי באזור הגדה המערבית</w:t>
      </w:r>
      <w:r w:rsidRPr="001A0B66">
        <w:rPr>
          <w:sz w:val="18"/>
          <w:rtl/>
        </w:rPr>
        <w:t xml:space="preserve"> (פורסם בנבו, 12.11.2015); והשוו לבג"ץ 5376/16 </w:t>
      </w:r>
      <w:r w:rsidRPr="001A0B66">
        <w:rPr>
          <w:b/>
          <w:bCs/>
          <w:sz w:val="18"/>
          <w:rtl/>
        </w:rPr>
        <w:t>אבו חדיר נ' שר הביטחון</w:t>
      </w:r>
      <w:r w:rsidRPr="001A0B66">
        <w:rPr>
          <w:sz w:val="18"/>
          <w:rtl/>
        </w:rPr>
        <w:t xml:space="preserve"> (פורסם בנבו, 4.7.2017). ראו גם את הנמקתו של שופט בית המשפט המחוזי אליקים בהקשרה של הסמכות לשלילת אזרחות: </w:t>
      </w:r>
      <w:proofErr w:type="spellStart"/>
      <w:r w:rsidRPr="001A0B66">
        <w:rPr>
          <w:sz w:val="18"/>
          <w:rtl/>
        </w:rPr>
        <w:t>עת"ם</w:t>
      </w:r>
      <w:proofErr w:type="spellEnd"/>
      <w:r w:rsidRPr="001A0B66">
        <w:rPr>
          <w:sz w:val="18"/>
          <w:rtl/>
        </w:rPr>
        <w:t xml:space="preserve"> (</w:t>
      </w:r>
      <w:proofErr w:type="spellStart"/>
      <w:r w:rsidRPr="001A0B66">
        <w:rPr>
          <w:sz w:val="18"/>
          <w:rtl/>
        </w:rPr>
        <w:t>מינהליים</w:t>
      </w:r>
      <w:proofErr w:type="spellEnd"/>
      <w:r w:rsidRPr="001A0B66">
        <w:rPr>
          <w:sz w:val="18"/>
          <w:rtl/>
        </w:rPr>
        <w:t xml:space="preserve"> חי') 57857-05-16 </w:t>
      </w:r>
      <w:r w:rsidRPr="001A0B66">
        <w:rPr>
          <w:b/>
          <w:bCs/>
          <w:sz w:val="18"/>
          <w:rtl/>
        </w:rPr>
        <w:t xml:space="preserve">שר הפנים נ' </w:t>
      </w:r>
      <w:proofErr w:type="spellStart"/>
      <w:r w:rsidRPr="001A0B66">
        <w:rPr>
          <w:b/>
          <w:bCs/>
          <w:sz w:val="18"/>
          <w:rtl/>
        </w:rPr>
        <w:t>זיוד</w:t>
      </w:r>
      <w:proofErr w:type="spellEnd"/>
      <w:r w:rsidRPr="001A0B66">
        <w:rPr>
          <w:sz w:val="18"/>
          <w:rtl/>
        </w:rPr>
        <w:t xml:space="preserve"> (2017) (ערעור תלוי ועומד בבית המשפט העליון: </w:t>
      </w:r>
      <w:proofErr w:type="spellStart"/>
      <w:r w:rsidRPr="001A0B66">
        <w:rPr>
          <w:sz w:val="18"/>
          <w:rtl/>
        </w:rPr>
        <w:t>עע"ם</w:t>
      </w:r>
      <w:proofErr w:type="spellEnd"/>
      <w:r w:rsidRPr="001A0B66">
        <w:rPr>
          <w:sz w:val="18"/>
          <w:rtl/>
        </w:rPr>
        <w:t xml:space="preserve"> 8277/17 </w:t>
      </w:r>
      <w:proofErr w:type="spellStart"/>
      <w:r w:rsidRPr="001A0B66">
        <w:rPr>
          <w:b/>
          <w:bCs/>
          <w:sz w:val="18"/>
          <w:rtl/>
        </w:rPr>
        <w:t>זיוד</w:t>
      </w:r>
      <w:proofErr w:type="spellEnd"/>
      <w:r w:rsidRPr="001A0B66">
        <w:rPr>
          <w:b/>
          <w:bCs/>
          <w:sz w:val="18"/>
          <w:rtl/>
        </w:rPr>
        <w:t xml:space="preserve"> נ' שר הפנים</w:t>
      </w:r>
      <w:r w:rsidRPr="001A0B66">
        <w:rPr>
          <w:sz w:val="18"/>
          <w:rtl/>
        </w:rPr>
        <w:t xml:space="preserve">). לביקורת על נימוקיו של השופט </w:t>
      </w:r>
      <w:proofErr w:type="spellStart"/>
      <w:r w:rsidRPr="001A0B66">
        <w:rPr>
          <w:sz w:val="18"/>
          <w:rtl/>
        </w:rPr>
        <w:t>סולברג</w:t>
      </w:r>
      <w:proofErr w:type="spellEnd"/>
      <w:r w:rsidRPr="001A0B66">
        <w:rPr>
          <w:sz w:val="18"/>
          <w:rtl/>
        </w:rPr>
        <w:t xml:space="preserve">, ראו, בין היתר, אילן סבן "הריסה, אפליה ושיר הלל שבטי" </w:t>
      </w:r>
      <w:r w:rsidRPr="001A0B66">
        <w:rPr>
          <w:b/>
          <w:bCs/>
          <w:sz w:val="18"/>
          <w:rtl/>
        </w:rPr>
        <w:t>העוקץ</w:t>
      </w:r>
      <w:r w:rsidRPr="001A0B66">
        <w:rPr>
          <w:sz w:val="18"/>
          <w:rtl/>
        </w:rPr>
        <w:t xml:space="preserve"> (2015) </w:t>
      </w:r>
      <w:hyperlink r:id="rId4" w:history="1">
        <w:r w:rsidRPr="001A0B66">
          <w:rPr>
            <w:rStyle w:val="Hyperlink"/>
            <w:rFonts w:cs="David"/>
            <w:rtl/>
          </w:rPr>
          <w:t>שיר-הלל-שבטי-להריסת-בתים</w:t>
        </w:r>
        <w:r w:rsidRPr="001A0B66">
          <w:rPr>
            <w:rStyle w:val="Hyperlink"/>
            <w:rFonts w:cs="David"/>
          </w:rPr>
          <w:t>www.haokets.org/2015/12/04/</w:t>
        </w:r>
      </w:hyperlink>
      <w:r w:rsidRPr="001A0B66">
        <w:rPr>
          <w:sz w:val="18"/>
          <w:rtl/>
        </w:rPr>
        <w:t xml:space="preserve">. </w:t>
      </w:r>
      <w:bookmarkEnd w:id="27"/>
    </w:p>
  </w:footnote>
  <w:footnote w:id="21">
    <w:p w14:paraId="1F12404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007616FA" w:rsidRPr="001A0B66">
        <w:rPr>
          <w:sz w:val="18"/>
          <w:rtl/>
        </w:rPr>
        <w:t>קרמניצר</w:t>
      </w:r>
      <w:proofErr w:type="spellEnd"/>
      <w:r w:rsidR="007616FA" w:rsidRPr="001A0B66">
        <w:rPr>
          <w:sz w:val="18"/>
          <w:rtl/>
        </w:rPr>
        <w:t xml:space="preserve"> ואחרים, לעיל </w:t>
      </w:r>
      <w:proofErr w:type="spellStart"/>
      <w:r w:rsidR="007616FA" w:rsidRPr="001A0B66">
        <w:rPr>
          <w:sz w:val="18"/>
          <w:rtl/>
        </w:rPr>
        <w:t>ה"ש</w:t>
      </w:r>
      <w:proofErr w:type="spellEnd"/>
      <w:r w:rsidR="007616FA" w:rsidRPr="001A0B66">
        <w:rPr>
          <w:sz w:val="18"/>
          <w:rtl/>
        </w:rPr>
        <w:t xml:space="preserve"> 8, בעמ' 132; קרבס, לעיל </w:t>
      </w:r>
      <w:proofErr w:type="spellStart"/>
      <w:r w:rsidR="007616FA" w:rsidRPr="001A0B66">
        <w:rPr>
          <w:sz w:val="18"/>
          <w:rtl/>
        </w:rPr>
        <w:t>ה"ש</w:t>
      </w:r>
      <w:proofErr w:type="spellEnd"/>
      <w:r w:rsidR="007616FA" w:rsidRPr="001A0B66">
        <w:rPr>
          <w:sz w:val="18"/>
          <w:rtl/>
        </w:rPr>
        <w:t xml:space="preserve"> 5, בעמ' 667; נתנאל </w:t>
      </w:r>
      <w:proofErr w:type="spellStart"/>
      <w:r w:rsidR="007616FA" w:rsidRPr="001A0B66">
        <w:rPr>
          <w:sz w:val="18"/>
          <w:rtl/>
        </w:rPr>
        <w:t>בנישו</w:t>
      </w:r>
      <w:proofErr w:type="spellEnd"/>
      <w:r w:rsidR="007616FA" w:rsidRPr="001A0B66">
        <w:rPr>
          <w:sz w:val="18"/>
          <w:rtl/>
        </w:rPr>
        <w:t xml:space="preserve"> ומאיר </w:t>
      </w:r>
      <w:proofErr w:type="spellStart"/>
      <w:r w:rsidR="007616FA" w:rsidRPr="001A0B66">
        <w:rPr>
          <w:sz w:val="18"/>
          <w:rtl/>
        </w:rPr>
        <w:t>ויגיסר</w:t>
      </w:r>
      <w:proofErr w:type="spellEnd"/>
      <w:r w:rsidR="007616FA" w:rsidRPr="001A0B66">
        <w:rPr>
          <w:sz w:val="18"/>
          <w:rtl/>
        </w:rPr>
        <w:t xml:space="preserve"> "ראיות חסויות וסנגורים מיוחדים בהליכי מעצר מנהלי בבתי המשפט הצבאים באזור יהודה ושומרון" </w:t>
      </w:r>
      <w:r w:rsidR="007616FA" w:rsidRPr="001A0B66">
        <w:rPr>
          <w:b/>
          <w:bCs/>
          <w:sz w:val="18"/>
          <w:rtl/>
        </w:rPr>
        <w:t>שערי משפט</w:t>
      </w:r>
      <w:r w:rsidR="007616FA" w:rsidRPr="001A0B66">
        <w:rPr>
          <w:sz w:val="18"/>
          <w:rtl/>
        </w:rPr>
        <w:t xml:space="preserve"> ט 61, 67–72 (2016) (להלן: </w:t>
      </w:r>
      <w:proofErr w:type="spellStart"/>
      <w:r w:rsidR="007616FA" w:rsidRPr="001A0B66">
        <w:rPr>
          <w:sz w:val="18"/>
          <w:rtl/>
        </w:rPr>
        <w:t>בנישו</w:t>
      </w:r>
      <w:proofErr w:type="spellEnd"/>
      <w:r w:rsidR="007616FA" w:rsidRPr="001A0B66">
        <w:rPr>
          <w:sz w:val="18"/>
          <w:rtl/>
        </w:rPr>
        <w:t xml:space="preserve"> </w:t>
      </w:r>
      <w:proofErr w:type="spellStart"/>
      <w:r w:rsidR="007616FA" w:rsidRPr="001A0B66">
        <w:rPr>
          <w:sz w:val="18"/>
          <w:rtl/>
        </w:rPr>
        <w:t>וויגיסר</w:t>
      </w:r>
      <w:proofErr w:type="spellEnd"/>
      <w:r w:rsidR="007616FA" w:rsidRPr="001A0B66">
        <w:rPr>
          <w:sz w:val="18"/>
          <w:rtl/>
        </w:rPr>
        <w:t>); עמירה הס "'</w:t>
      </w:r>
      <w:proofErr w:type="spellStart"/>
      <w:r w:rsidR="007616FA" w:rsidRPr="001A0B66">
        <w:rPr>
          <w:sz w:val="18"/>
          <w:rtl/>
        </w:rPr>
        <w:t>הכל</w:t>
      </w:r>
      <w:proofErr w:type="spellEnd"/>
      <w:r w:rsidR="007616FA" w:rsidRPr="001A0B66">
        <w:rPr>
          <w:sz w:val="18"/>
          <w:rtl/>
        </w:rPr>
        <w:t xml:space="preserve"> יפורסם בחסוי'" </w:t>
      </w:r>
      <w:r w:rsidR="007616FA" w:rsidRPr="001A0B66">
        <w:rPr>
          <w:b/>
          <w:bCs/>
          <w:sz w:val="18"/>
          <w:rtl/>
        </w:rPr>
        <w:t>הארץ</w:t>
      </w:r>
      <w:r w:rsidR="007616FA" w:rsidRPr="001A0B66">
        <w:rPr>
          <w:sz w:val="18"/>
          <w:rtl/>
        </w:rPr>
        <w:t xml:space="preserve"> 2.1.2006; </w:t>
      </w:r>
      <w:r w:rsidR="007616FA" w:rsidRPr="001A0B66">
        <w:rPr>
          <w:sz w:val="18"/>
        </w:rPr>
        <w:t xml:space="preserve">Tamar </w:t>
      </w:r>
      <w:proofErr w:type="spellStart"/>
      <w:r w:rsidR="007616FA" w:rsidRPr="001A0B66">
        <w:rPr>
          <w:sz w:val="18"/>
        </w:rPr>
        <w:t>Pelleg-Sryck</w:t>
      </w:r>
      <w:proofErr w:type="spellEnd"/>
      <w:r w:rsidR="007616FA" w:rsidRPr="001A0B66">
        <w:rPr>
          <w:sz w:val="18"/>
        </w:rPr>
        <w:t xml:space="preserve">, </w:t>
      </w:r>
      <w:r w:rsidR="007616FA" w:rsidRPr="001A0B66">
        <w:rPr>
          <w:i/>
          <w:iCs/>
          <w:sz w:val="18"/>
        </w:rPr>
        <w:t>The Mysteries of Administrative Detention, in</w:t>
      </w:r>
      <w:r w:rsidR="007616FA" w:rsidRPr="001A0B66">
        <w:rPr>
          <w:sz w:val="18"/>
        </w:rPr>
        <w:t xml:space="preserve"> </w:t>
      </w:r>
      <w:r w:rsidR="007616FA" w:rsidRPr="001A0B66">
        <w:rPr>
          <w:smallCaps/>
          <w:sz w:val="18"/>
        </w:rPr>
        <w:t>Threat: Palestinian Political Prisoners in Israel</w:t>
      </w:r>
      <w:r w:rsidR="007616FA" w:rsidRPr="001A0B66">
        <w:rPr>
          <w:sz w:val="18"/>
        </w:rPr>
        <w:t xml:space="preserve">, 123 (Abeer Baker &amp; Anat </w:t>
      </w:r>
      <w:proofErr w:type="spellStart"/>
      <w:r w:rsidR="007616FA" w:rsidRPr="001A0B66">
        <w:rPr>
          <w:sz w:val="18"/>
        </w:rPr>
        <w:t>Matar</w:t>
      </w:r>
      <w:proofErr w:type="spellEnd"/>
      <w:r w:rsidR="007616FA" w:rsidRPr="001A0B66">
        <w:rPr>
          <w:sz w:val="18"/>
        </w:rPr>
        <w:t xml:space="preserve"> eds., 2011)</w:t>
      </w:r>
      <w:r w:rsidR="007616FA" w:rsidRPr="001A0B66">
        <w:rPr>
          <w:sz w:val="18"/>
          <w:rtl/>
        </w:rPr>
        <w:t>.</w:t>
      </w:r>
    </w:p>
  </w:footnote>
  <w:footnote w:id="22">
    <w:p w14:paraId="1A396F24"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רצוי לציין שהסכמה זו נעשית מחוסר ברירה, בהיעדר חלופות אחרות מהסוג המטופל כאן במאמר. לביסוס קביעה זו ראו זמיר, לעיל </w:t>
      </w:r>
      <w:proofErr w:type="spellStart"/>
      <w:r w:rsidRPr="001A0B66">
        <w:rPr>
          <w:sz w:val="18"/>
          <w:rtl/>
        </w:rPr>
        <w:t>ה"ש</w:t>
      </w:r>
      <w:proofErr w:type="spellEnd"/>
      <w:r w:rsidRPr="001A0B66">
        <w:rPr>
          <w:sz w:val="18"/>
          <w:rtl/>
        </w:rPr>
        <w:t xml:space="preserve"> 4, 2857-2856.</w:t>
      </w:r>
    </w:p>
  </w:footnote>
  <w:footnote w:id="23">
    <w:p w14:paraId="28696F27" w14:textId="77777777" w:rsidR="0019600D" w:rsidRDefault="0091227C" w:rsidP="00E157D9">
      <w:pPr>
        <w:pStyle w:val="CommentText"/>
        <w:spacing w:after="60"/>
      </w:pPr>
      <w:r w:rsidRPr="001A0B66">
        <w:rPr>
          <w:rStyle w:val="FootnoteReference"/>
        </w:rPr>
        <w:footnoteRef/>
      </w:r>
      <w:r w:rsidRPr="001A0B66">
        <w:rPr>
          <w:rtl/>
        </w:rPr>
        <w:t xml:space="preserve"> </w:t>
      </w:r>
      <w:r w:rsidRPr="001A0B66">
        <w:tab/>
      </w:r>
      <w:r w:rsidRPr="001A0B66">
        <w:rPr>
          <w:szCs w:val="20"/>
          <w:rtl/>
        </w:rPr>
        <w:t xml:space="preserve">קרבס 2014, לעיל </w:t>
      </w:r>
      <w:proofErr w:type="spellStart"/>
      <w:r w:rsidRPr="001A0B66">
        <w:rPr>
          <w:szCs w:val="20"/>
          <w:rtl/>
        </w:rPr>
        <w:t>ה"ש</w:t>
      </w:r>
      <w:proofErr w:type="spellEnd"/>
      <w:r w:rsidRPr="001A0B66">
        <w:rPr>
          <w:szCs w:val="20"/>
          <w:rtl/>
        </w:rPr>
        <w:t xml:space="preserve"> 5, בעמ' 187.</w:t>
      </w:r>
    </w:p>
  </w:footnote>
  <w:footnote w:id="24">
    <w:p w14:paraId="6FD9F20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בעמ' 167;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7, בעמ' 80-79.</w:t>
      </w:r>
    </w:p>
  </w:footnote>
  <w:footnote w:id="25">
    <w:p w14:paraId="1727B01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השופטת ארבל בבג"ץ 3128/12 </w:t>
      </w:r>
      <w:proofErr w:type="spellStart"/>
      <w:r w:rsidRPr="001A0B66">
        <w:rPr>
          <w:b/>
          <w:bCs/>
          <w:rtl/>
        </w:rPr>
        <w:t>מסלמאני</w:t>
      </w:r>
      <w:proofErr w:type="spellEnd"/>
      <w:r w:rsidRPr="001A0B66">
        <w:rPr>
          <w:b/>
          <w:bCs/>
          <w:rtl/>
        </w:rPr>
        <w:t xml:space="preserve"> נ' המפקד הצבאי לאזור יהודה ושומרון </w:t>
      </w:r>
      <w:r w:rsidRPr="001A0B66">
        <w:rPr>
          <w:rtl/>
        </w:rPr>
        <w:t>(2012), בפסקה 11.</w:t>
      </w:r>
    </w:p>
  </w:footnote>
  <w:footnote w:id="26">
    <w:p w14:paraId="689C4F2E"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בג</w:t>
      </w:r>
      <w:r w:rsidRPr="001A0B66">
        <w:rPr>
          <w:sz w:val="18"/>
        </w:rPr>
        <w:t>"</w:t>
      </w:r>
      <w:r w:rsidRPr="001A0B66">
        <w:rPr>
          <w:sz w:val="18"/>
          <w:rtl/>
        </w:rPr>
        <w:t>ץ</w:t>
      </w:r>
      <w:r w:rsidRPr="001A0B66">
        <w:rPr>
          <w:sz w:val="18"/>
        </w:rPr>
        <w:t xml:space="preserve"> </w:t>
      </w:r>
      <w:r w:rsidRPr="001A0B66">
        <w:rPr>
          <w:sz w:val="18"/>
          <w:rtl/>
        </w:rPr>
        <w:t xml:space="preserve">317/13 </w:t>
      </w:r>
      <w:r w:rsidRPr="001A0B66">
        <w:rPr>
          <w:b/>
          <w:bCs/>
          <w:sz w:val="18"/>
          <w:rtl/>
        </w:rPr>
        <w:t>עברה</w:t>
      </w:r>
      <w:r w:rsidRPr="001A0B66">
        <w:rPr>
          <w:b/>
          <w:bCs/>
          <w:sz w:val="18"/>
        </w:rPr>
        <w:t xml:space="preserve"> </w:t>
      </w:r>
      <w:r w:rsidRPr="001A0B66">
        <w:rPr>
          <w:b/>
          <w:bCs/>
          <w:sz w:val="18"/>
          <w:rtl/>
        </w:rPr>
        <w:t>נ' מפקד</w:t>
      </w:r>
      <w:r w:rsidRPr="001A0B66">
        <w:rPr>
          <w:b/>
          <w:bCs/>
          <w:sz w:val="18"/>
        </w:rPr>
        <w:t xml:space="preserve"> </w:t>
      </w:r>
      <w:r w:rsidRPr="001A0B66">
        <w:rPr>
          <w:b/>
          <w:bCs/>
          <w:sz w:val="18"/>
          <w:rtl/>
        </w:rPr>
        <w:t>כוחות</w:t>
      </w:r>
      <w:r w:rsidRPr="001A0B66">
        <w:rPr>
          <w:b/>
          <w:bCs/>
          <w:sz w:val="18"/>
        </w:rPr>
        <w:t xml:space="preserve"> </w:t>
      </w:r>
      <w:r w:rsidRPr="001A0B66">
        <w:rPr>
          <w:b/>
          <w:bCs/>
          <w:sz w:val="18"/>
          <w:rtl/>
        </w:rPr>
        <w:t>צה"ל</w:t>
      </w:r>
      <w:r w:rsidRPr="001A0B66">
        <w:rPr>
          <w:b/>
          <w:bCs/>
          <w:sz w:val="18"/>
        </w:rPr>
        <w:t xml:space="preserve"> </w:t>
      </w:r>
      <w:proofErr w:type="spellStart"/>
      <w:r w:rsidRPr="001A0B66">
        <w:rPr>
          <w:b/>
          <w:bCs/>
          <w:sz w:val="18"/>
          <w:rtl/>
        </w:rPr>
        <w:t>באיו"ש</w:t>
      </w:r>
      <w:proofErr w:type="spellEnd"/>
      <w:r w:rsidRPr="001A0B66">
        <w:rPr>
          <w:sz w:val="18"/>
          <w:rtl/>
        </w:rPr>
        <w:t xml:space="preserve">, פסקה 14 לפסק דינו של השופט שהם (פורסם בנבו, 27.1.2013) (להלן: עניין </w:t>
      </w:r>
      <w:r w:rsidRPr="001A0B66">
        <w:rPr>
          <w:b/>
          <w:bCs/>
          <w:sz w:val="18"/>
          <w:rtl/>
        </w:rPr>
        <w:t>עברה</w:t>
      </w:r>
      <w:r w:rsidRPr="001A0B66">
        <w:rPr>
          <w:sz w:val="18"/>
          <w:rtl/>
        </w:rPr>
        <w:t>).</w:t>
      </w:r>
    </w:p>
  </w:footnote>
  <w:footnote w:id="27">
    <w:p w14:paraId="4F968136" w14:textId="77777777" w:rsidR="0019600D" w:rsidRDefault="00595C93" w:rsidP="00595C93">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ב"ש (ערעורים </w:t>
      </w:r>
      <w:proofErr w:type="spellStart"/>
      <w:r w:rsidRPr="001A0B66">
        <w:rPr>
          <w:sz w:val="18"/>
          <w:rtl/>
        </w:rPr>
        <w:t>איו"ש</w:t>
      </w:r>
      <w:proofErr w:type="spellEnd"/>
      <w:r w:rsidRPr="001A0B66">
        <w:rPr>
          <w:sz w:val="18"/>
          <w:rtl/>
        </w:rPr>
        <w:t>) 88/02</w:t>
      </w:r>
      <w:r w:rsidRPr="001A0B66">
        <w:rPr>
          <w:b/>
          <w:bCs/>
          <w:sz w:val="18"/>
          <w:rtl/>
        </w:rPr>
        <w:t xml:space="preserve"> התובע הצבאי נ' </w:t>
      </w:r>
      <w:proofErr w:type="spellStart"/>
      <w:r w:rsidRPr="001A0B66">
        <w:rPr>
          <w:b/>
          <w:bCs/>
          <w:sz w:val="18"/>
          <w:rtl/>
        </w:rPr>
        <w:t>עוויס</w:t>
      </w:r>
      <w:proofErr w:type="spellEnd"/>
      <w:r w:rsidRPr="001A0B66">
        <w:rPr>
          <w:b/>
          <w:bCs/>
          <w:sz w:val="18"/>
          <w:rtl/>
        </w:rPr>
        <w:t xml:space="preserve"> </w:t>
      </w:r>
      <w:r w:rsidRPr="001A0B66">
        <w:rPr>
          <w:sz w:val="18"/>
          <w:rtl/>
        </w:rPr>
        <w:t>(פורסם בנבו, 28.7.2002)</w:t>
      </w:r>
      <w:r w:rsidR="00B15E25">
        <w:rPr>
          <w:sz w:val="18"/>
          <w:rtl/>
        </w:rPr>
        <w:t>.</w:t>
      </w:r>
    </w:p>
  </w:footnote>
  <w:footnote w:id="28">
    <w:p w14:paraId="5BE7C4D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מוסיפים כי "הניסיונות לאפשר חקירת מקורות מידע בהליכי הביקורת, בין אם במעמד הצדדים ובין על ידי בית המשפט </w:t>
      </w:r>
      <w:r w:rsidRPr="001A0B66">
        <w:rPr>
          <w:sz w:val="18"/>
        </w:rPr>
        <w:t xml:space="preserve">ex </w:t>
      </w:r>
      <w:proofErr w:type="spellStart"/>
      <w:r w:rsidRPr="001A0B66">
        <w:rPr>
          <w:sz w:val="18"/>
        </w:rPr>
        <w:t>parte</w:t>
      </w:r>
      <w:proofErr w:type="spellEnd"/>
      <w:r w:rsidRPr="001A0B66">
        <w:rPr>
          <w:sz w:val="18"/>
          <w:rtl/>
        </w:rPr>
        <w:t xml:space="preserve">, לא צלחו"; </w:t>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E72F1B">
        <w:rPr>
          <w:sz w:val="18"/>
          <w:rtl/>
        </w:rPr>
        <w:t xml:space="preserve">20, </w:t>
      </w:r>
      <w:r w:rsidRPr="001A0B66">
        <w:rPr>
          <w:sz w:val="18"/>
          <w:rtl/>
        </w:rPr>
        <w:t>בעמ' 75.</w:t>
      </w:r>
      <w:r w:rsidRPr="001A0B66">
        <w:rPr>
          <w:sz w:val="18"/>
          <w:rtl/>
        </w:rPr>
        <w:tab/>
      </w:r>
    </w:p>
  </w:footnote>
  <w:footnote w:id="29">
    <w:p w14:paraId="657840BA" w14:textId="77777777" w:rsidR="0019600D" w:rsidRDefault="0091227C" w:rsidP="00E157D9">
      <w:pPr>
        <w:pStyle w:val="FootnoteText"/>
        <w:spacing w:after="60"/>
      </w:pPr>
      <w:r w:rsidRPr="001A0B66">
        <w:rPr>
          <w:rStyle w:val="FootnoteReference"/>
        </w:rPr>
        <w:footnoteRef/>
      </w:r>
      <w:r w:rsidRPr="001A0B66">
        <w:rPr>
          <w:rtl/>
        </w:rPr>
        <w:t xml:space="preserve"> </w:t>
      </w:r>
      <w:r w:rsidRPr="001A0B66">
        <w:rPr>
          <w:rtl/>
        </w:rPr>
        <w:tab/>
      </w:r>
      <w:r w:rsidRPr="001A0B66">
        <w:rPr>
          <w:rtl/>
        </w:rPr>
        <w:t xml:space="preserve">השופט אור בבג"ץ 4400/98 </w:t>
      </w:r>
      <w:proofErr w:type="spellStart"/>
      <w:r w:rsidRPr="001A0B66">
        <w:rPr>
          <w:b/>
          <w:bCs/>
          <w:rtl/>
        </w:rPr>
        <w:t>ברהם</w:t>
      </w:r>
      <w:proofErr w:type="spellEnd"/>
      <w:r w:rsidRPr="001A0B66">
        <w:rPr>
          <w:b/>
          <w:bCs/>
          <w:rtl/>
        </w:rPr>
        <w:t xml:space="preserve"> נ' שופט משפטאי אל"ם שפי</w:t>
      </w:r>
      <w:r w:rsidRPr="001A0B66">
        <w:rPr>
          <w:rtl/>
        </w:rPr>
        <w:t xml:space="preserve">, פ"ד נב(5) 337 (1998) (להלן: עניין </w:t>
      </w:r>
      <w:proofErr w:type="spellStart"/>
      <w:r w:rsidRPr="001A0B66">
        <w:rPr>
          <w:b/>
          <w:bCs/>
          <w:rtl/>
        </w:rPr>
        <w:t>ברהם</w:t>
      </w:r>
      <w:proofErr w:type="spellEnd"/>
      <w:r w:rsidRPr="001A0B66">
        <w:rPr>
          <w:rtl/>
        </w:rPr>
        <w:t xml:space="preserve">), שם בפסקה 10. פסק הדין מעניין מבחינה נוספת. השופט אור מצביע על קיומן של שתי גישות בהלכה הפסוקה – מרחיבה וצרה – כלפי הביקורת השיפוטית על המעצר </w:t>
      </w:r>
      <w:proofErr w:type="spellStart"/>
      <w:r w:rsidRPr="001A0B66">
        <w:rPr>
          <w:rtl/>
        </w:rPr>
        <w:t>המינהלי</w:t>
      </w:r>
      <w:proofErr w:type="spellEnd"/>
      <w:r w:rsidRPr="001A0B66">
        <w:rPr>
          <w:rtl/>
        </w:rPr>
        <w:t>, והוא מביע את תמיכתו העקרונית בגישה שהוא רואה בה מרחיבה.</w:t>
      </w:r>
    </w:p>
  </w:footnote>
  <w:footnote w:id="30">
    <w:p w14:paraId="515815B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Ref53027519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7</w:t>
      </w:r>
      <w:r w:rsidRPr="001A0B66">
        <w:rPr>
          <w:sz w:val="18"/>
          <w:rtl/>
        </w:rPr>
        <w:fldChar w:fldCharType="end"/>
      </w:r>
      <w:r w:rsidRPr="001A0B66">
        <w:rPr>
          <w:sz w:val="18"/>
          <w:rtl/>
        </w:rPr>
        <w:t>, בעמ' 106–107.</w:t>
      </w:r>
    </w:p>
  </w:footnote>
  <w:footnote w:id="31">
    <w:p w14:paraId="3B4691E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קרבס, לעיל </w:t>
      </w:r>
      <w:proofErr w:type="spellStart"/>
      <w:r w:rsidRPr="001A0B66">
        <w:rPr>
          <w:sz w:val="18"/>
          <w:rtl/>
        </w:rPr>
        <w:t>ה"ש</w:t>
      </w:r>
      <w:proofErr w:type="spellEnd"/>
      <w:r w:rsidRPr="001A0B66">
        <w:rPr>
          <w:sz w:val="18"/>
          <w:rtl/>
        </w:rPr>
        <w:t xml:space="preserve"> 5, בעמ' 671.</w:t>
      </w:r>
    </w:p>
  </w:footnote>
  <w:footnote w:id="32">
    <w:p w14:paraId="1D593FF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דבריו החשובים של השופט זמיר בבג"ץ 2320/98 </w:t>
      </w:r>
      <w:r w:rsidRPr="001A0B66">
        <w:rPr>
          <w:b/>
          <w:bCs/>
          <w:sz w:val="18"/>
          <w:rtl/>
        </w:rPr>
        <w:t>אל-עמלה נ' מפקד כוחות צה"ל</w:t>
      </w:r>
      <w:r w:rsidRPr="001A0B66">
        <w:rPr>
          <w:sz w:val="18"/>
          <w:rtl/>
        </w:rPr>
        <w:t xml:space="preserve">, פ"ד נב(3) 346, 360 (1998): "הביקורת השיפוטית [...] היא כבשת הרש של העצור. היא המחסום בפני מעצר והיא המפתח אל החירות". במקרים נוספים הדגישו שופטי בית המשפט העליון בפסקי הדין כי על השופט היושב בדין מוטלת החובה לבקר את החומר החסוי כמעט כאילו הוא עצמו מייצג את העצור, ראו, בין היתר, עניין </w:t>
      </w:r>
      <w:proofErr w:type="spellStart"/>
      <w:r w:rsidRPr="001A0B66">
        <w:rPr>
          <w:b/>
          <w:bCs/>
          <w:sz w:val="18"/>
          <w:rtl/>
        </w:rPr>
        <w:t>ברהם</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27; בג"ץ 5994/03 </w:t>
      </w:r>
      <w:r w:rsidRPr="001A0B66">
        <w:rPr>
          <w:b/>
          <w:bCs/>
          <w:sz w:val="18"/>
          <w:rtl/>
        </w:rPr>
        <w:t>סדר נ' מפקד כוחות צה"ל בגדה המערבית</w:t>
      </w:r>
      <w:r w:rsidRPr="001A0B66">
        <w:rPr>
          <w:sz w:val="18"/>
          <w:rtl/>
        </w:rPr>
        <w:t xml:space="preserve"> (2003)</w:t>
      </w:r>
      <w:r w:rsidRPr="001A0B66">
        <w:rPr>
          <w:sz w:val="18"/>
          <w:szCs w:val="24"/>
          <w:rtl/>
        </w:rPr>
        <w:t xml:space="preserve"> </w:t>
      </w:r>
      <w:r w:rsidRPr="001A0B66">
        <w:rPr>
          <w:sz w:val="18"/>
          <w:rtl/>
        </w:rPr>
        <w:t xml:space="preserve">(להלן: עניין </w:t>
      </w:r>
      <w:r w:rsidRPr="001A0B66">
        <w:rPr>
          <w:b/>
          <w:bCs/>
          <w:sz w:val="18"/>
          <w:rtl/>
        </w:rPr>
        <w:t>סדר</w:t>
      </w:r>
      <w:r w:rsidRPr="001A0B66">
        <w:rPr>
          <w:sz w:val="18"/>
          <w:rtl/>
        </w:rPr>
        <w:t xml:space="preserve">); בג"צ 5784/03 </w:t>
      </w:r>
      <w:r w:rsidRPr="001A0B66">
        <w:rPr>
          <w:b/>
          <w:bCs/>
          <w:sz w:val="18"/>
          <w:rtl/>
        </w:rPr>
        <w:t xml:space="preserve">סלאמה נ' מפקד כוחות צה"ל </w:t>
      </w:r>
      <w:proofErr w:type="spellStart"/>
      <w:r w:rsidRPr="001A0B66">
        <w:rPr>
          <w:b/>
          <w:bCs/>
          <w:sz w:val="18"/>
          <w:rtl/>
        </w:rPr>
        <w:t>באיו"ש</w:t>
      </w:r>
      <w:proofErr w:type="spellEnd"/>
      <w:r w:rsidRPr="001A0B66">
        <w:rPr>
          <w:sz w:val="18"/>
          <w:rtl/>
        </w:rPr>
        <w:t xml:space="preserve">, פ"ד נ"ז(6) 720 (2003); </w:t>
      </w:r>
      <w:proofErr w:type="spellStart"/>
      <w:r w:rsidRPr="001A0B66">
        <w:rPr>
          <w:sz w:val="18"/>
          <w:rtl/>
        </w:rPr>
        <w:t>עמ"ם</w:t>
      </w:r>
      <w:proofErr w:type="spellEnd"/>
      <w:r w:rsidRPr="001A0B66">
        <w:rPr>
          <w:sz w:val="18"/>
          <w:rtl/>
        </w:rPr>
        <w:t xml:space="preserve"> 8788/03 </w:t>
      </w:r>
      <w:proofErr w:type="spellStart"/>
      <w:r w:rsidRPr="001A0B66">
        <w:rPr>
          <w:b/>
          <w:bCs/>
          <w:sz w:val="18"/>
          <w:rtl/>
        </w:rPr>
        <w:t>פדרמן</w:t>
      </w:r>
      <w:proofErr w:type="spellEnd"/>
      <w:r w:rsidRPr="001A0B66">
        <w:rPr>
          <w:b/>
          <w:bCs/>
          <w:sz w:val="18"/>
          <w:rtl/>
        </w:rPr>
        <w:t xml:space="preserve"> נ' שר הביטחון</w:t>
      </w:r>
      <w:r w:rsidRPr="001A0B66">
        <w:rPr>
          <w:sz w:val="18"/>
          <w:rtl/>
        </w:rPr>
        <w:t xml:space="preserve">, פ"ד נ"ח(1) 176, 186 (2003) </w:t>
      </w:r>
      <w:bookmarkStart w:id="34" w:name="_Hlk63765172"/>
      <w:r w:rsidRPr="001A0B66">
        <w:rPr>
          <w:sz w:val="18"/>
          <w:rtl/>
        </w:rPr>
        <w:t xml:space="preserve">(להלן: עניין </w:t>
      </w:r>
      <w:proofErr w:type="spellStart"/>
      <w:r w:rsidRPr="001A0B66">
        <w:rPr>
          <w:b/>
          <w:bCs/>
          <w:sz w:val="18"/>
          <w:rtl/>
        </w:rPr>
        <w:t>פדרמן</w:t>
      </w:r>
      <w:proofErr w:type="spellEnd"/>
      <w:r w:rsidRPr="001A0B66">
        <w:rPr>
          <w:sz w:val="18"/>
          <w:rtl/>
        </w:rPr>
        <w:t>)</w:t>
      </w:r>
      <w:bookmarkEnd w:id="34"/>
      <w:r w:rsidRPr="001A0B66">
        <w:rPr>
          <w:sz w:val="18"/>
          <w:rtl/>
        </w:rPr>
        <w:t xml:space="preserve">; בג"ץ 9441/07 </w:t>
      </w:r>
      <w:r w:rsidRPr="001A0B66">
        <w:rPr>
          <w:b/>
          <w:bCs/>
          <w:sz w:val="18"/>
          <w:rtl/>
        </w:rPr>
        <w:t xml:space="preserve">אגבר נ' מפקד כוחות צה"ל </w:t>
      </w:r>
      <w:proofErr w:type="spellStart"/>
      <w:r w:rsidRPr="001A0B66">
        <w:rPr>
          <w:b/>
          <w:bCs/>
          <w:sz w:val="18"/>
          <w:rtl/>
        </w:rPr>
        <w:t>באיו"ש</w:t>
      </w:r>
      <w:proofErr w:type="spellEnd"/>
      <w:r w:rsidRPr="001A0B66">
        <w:rPr>
          <w:sz w:val="18"/>
          <w:rtl/>
        </w:rPr>
        <w:t xml:space="preserve"> (פורסם בנבו, 20.12.2007);; 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22–24.</w:t>
      </w:r>
    </w:p>
  </w:footnote>
  <w:footnote w:id="33">
    <w:p w14:paraId="03F88F4D" w14:textId="77777777" w:rsidR="0019600D" w:rsidRDefault="0091227C" w:rsidP="00E157D9">
      <w:pPr>
        <w:pStyle w:val="CommentText"/>
        <w:spacing w:after="60"/>
      </w:pPr>
      <w:r w:rsidRPr="001A0B66">
        <w:rPr>
          <w:rStyle w:val="FootnoteReference"/>
        </w:rPr>
        <w:footnoteRef/>
      </w:r>
      <w:r w:rsidRPr="001A0B66">
        <w:rPr>
          <w:rtl/>
        </w:rPr>
        <w:t xml:space="preserve"> </w:t>
      </w:r>
      <w:r w:rsidRPr="001A0B66">
        <w:rPr>
          <w:rtl/>
        </w:rPr>
        <w:tab/>
      </w:r>
      <w:r w:rsidRPr="001A0B66">
        <w:rPr>
          <w:szCs w:val="20"/>
          <w:rtl/>
        </w:rPr>
        <w:t xml:space="preserve">קרבס 2014, לעיל </w:t>
      </w:r>
      <w:proofErr w:type="spellStart"/>
      <w:r w:rsidRPr="001A0B66">
        <w:rPr>
          <w:szCs w:val="20"/>
          <w:rtl/>
        </w:rPr>
        <w:t>ה"ש</w:t>
      </w:r>
      <w:proofErr w:type="spellEnd"/>
      <w:r w:rsidRPr="001A0B66">
        <w:rPr>
          <w:szCs w:val="20"/>
          <w:rtl/>
        </w:rPr>
        <w:t xml:space="preserve"> 5, בעמ' 190-188, 204-198.</w:t>
      </w:r>
    </w:p>
  </w:footnote>
  <w:footnote w:id="34">
    <w:p w14:paraId="719E2DE6" w14:textId="77777777" w:rsidR="0019600D" w:rsidRDefault="0091227C" w:rsidP="00E157D9">
      <w:pPr>
        <w:pStyle w:val="CommentText"/>
        <w:spacing w:after="60"/>
        <w:ind w:left="716" w:hanging="690"/>
      </w:pPr>
      <w:r w:rsidRPr="001A0B66">
        <w:rPr>
          <w:rStyle w:val="FootnoteReference"/>
          <w:rFonts w:cs="David"/>
          <w:szCs w:val="20"/>
          <w:rtl/>
        </w:rPr>
        <w:footnoteRef/>
      </w:r>
      <w:r w:rsidRPr="001A0B66">
        <w:rPr>
          <w:rStyle w:val="FootnoteReference"/>
          <w:rFonts w:cs="David"/>
          <w:szCs w:val="20"/>
          <w:rtl/>
        </w:rPr>
        <w:tab/>
      </w:r>
      <w:proofErr w:type="spellStart"/>
      <w:r w:rsidRPr="001A0B66">
        <w:rPr>
          <w:szCs w:val="20"/>
          <w:rtl/>
        </w:rPr>
        <w:t>קרמניצר</w:t>
      </w:r>
      <w:proofErr w:type="spellEnd"/>
      <w:r w:rsidRPr="001A0B66">
        <w:rPr>
          <w:szCs w:val="20"/>
          <w:rtl/>
        </w:rPr>
        <w:t xml:space="preserve"> ואחרים, לעיל </w:t>
      </w:r>
      <w:proofErr w:type="spellStart"/>
      <w:r w:rsidRPr="001A0B66">
        <w:rPr>
          <w:szCs w:val="20"/>
          <w:rtl/>
        </w:rPr>
        <w:t>ה"ש</w:t>
      </w:r>
      <w:proofErr w:type="spellEnd"/>
      <w:r w:rsidRPr="001A0B66">
        <w:rPr>
          <w:szCs w:val="20"/>
          <w:rtl/>
        </w:rPr>
        <w:t xml:space="preserve"> 8, בעמ' 184–186; קרבס 2014, שם, מביאה מספר מקורות מן הפסיקה הבריטית הקובעים שהליך שיפוטי לעולם לא יהיה הוגן אם אחד הצדדים פועל באפלה ובחוסר ידיעה בנוגע לפרטיי התיק. בלי חקירה נגדית המבוססת על תמונת המידע המלאה, לא ניתן לסמוך על הממצאים בתיק.</w:t>
      </w:r>
    </w:p>
  </w:footnote>
  <w:footnote w:id="35">
    <w:p w14:paraId="5C53C1D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41.</w:t>
      </w:r>
    </w:p>
  </w:footnote>
  <w:footnote w:id="36">
    <w:p w14:paraId="14406DE3"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זו טענה שהביע סנגור בריאיון עומק עימו; קרבס, לעיל </w:t>
      </w:r>
      <w:proofErr w:type="spellStart"/>
      <w:r w:rsidRPr="001A0B66">
        <w:rPr>
          <w:sz w:val="18"/>
          <w:rtl/>
        </w:rPr>
        <w:t>ה"ש</w:t>
      </w:r>
      <w:proofErr w:type="spellEnd"/>
      <w:r w:rsidRPr="001A0B66">
        <w:rPr>
          <w:sz w:val="18"/>
          <w:rtl/>
        </w:rPr>
        <w:t xml:space="preserve"> 5, בעמ' 684. דומה כי טענה זו משתמעת גם מהמסקנות שקרבס עצמה משרטטת, שם, בעמ' 681. קרבס מסכמת שכל הגורמים שהתראיינו, ובהם השופטים, מסכימים שהמודל הקיים היום סובל מחולשות ניכרות שמונעות מהשופט להעריך את הראיות החסויות לעומק באופן עצמאי (שם, בעמ' 686). היא קוראת תיגר על מודל הביקורת השיפוטית כאשר היא קובעת שיישום המסגרת המשפטית במסגרת המודל הקיים בעייתית כאשר מדובר בראיות חסויות (שם, בעמ' 694). ללא "אינדיווידואליזציה" של כל הפעלת סמכות וקונקרטיזציה של הסיבות למעצר, אין יכולת של ממש </w:t>
      </w:r>
      <w:proofErr w:type="spellStart"/>
      <w:r w:rsidRPr="001A0B66">
        <w:rPr>
          <w:sz w:val="18"/>
          <w:rtl/>
        </w:rPr>
        <w:t>לאסדר</w:t>
      </w:r>
      <w:proofErr w:type="spellEnd"/>
      <w:r w:rsidRPr="001A0B66">
        <w:rPr>
          <w:sz w:val="18"/>
          <w:rtl/>
        </w:rPr>
        <w:t xml:space="preserve"> את משטר המעצרים המנהליים. וראו עוד קרבס, שם, בעמ' 672–673. למסקנות דומות ראו </w:t>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זכריה, לעיל </w:t>
      </w:r>
      <w:proofErr w:type="spellStart"/>
      <w:r w:rsidRPr="001A0B66">
        <w:rPr>
          <w:sz w:val="18"/>
          <w:rtl/>
        </w:rPr>
        <w:t>ה"ש</w:t>
      </w:r>
      <w:proofErr w:type="spellEnd"/>
      <w:r w:rsidRPr="001A0B66">
        <w:rPr>
          <w:sz w:val="18"/>
          <w:rtl/>
        </w:rPr>
        <w:t xml:space="preserve"> 5, בעמ' 7; לסקי, </w:t>
      </w:r>
      <w:proofErr w:type="spellStart"/>
      <w:r w:rsidRPr="001A0B66">
        <w:rPr>
          <w:sz w:val="18"/>
          <w:rtl/>
        </w:rPr>
        <w:t>ה"ש</w:t>
      </w:r>
      <w:proofErr w:type="spellEnd"/>
      <w:r w:rsidRPr="001A0B66">
        <w:rPr>
          <w:sz w:val="18"/>
          <w:rtl/>
        </w:rPr>
        <w:t xml:space="preserve"> 5, בעמ' 11.</w:t>
      </w:r>
    </w:p>
  </w:footnote>
  <w:footnote w:id="37">
    <w:p w14:paraId="06C45EF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ראו גם: </w:t>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קרבס, לעיל </w:t>
      </w:r>
      <w:proofErr w:type="spellStart"/>
      <w:r w:rsidRPr="001A0B66">
        <w:rPr>
          <w:sz w:val="18"/>
          <w:rtl/>
        </w:rPr>
        <w:t>ה"ש</w:t>
      </w:r>
      <w:proofErr w:type="spellEnd"/>
      <w:r w:rsidRPr="001A0B66">
        <w:rPr>
          <w:sz w:val="18"/>
          <w:rtl/>
        </w:rPr>
        <w:t xml:space="preserve"> 5; </w:t>
      </w:r>
      <w:proofErr w:type="spellStart"/>
      <w:r w:rsidRPr="001A0B66">
        <w:rPr>
          <w:sz w:val="18"/>
          <w:rtl/>
        </w:rPr>
        <w:t>איפ</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w:t>
      </w:r>
    </w:p>
  </w:footnote>
  <w:footnote w:id="38">
    <w:p w14:paraId="367B870A" w14:textId="77777777" w:rsidR="0019600D" w:rsidRDefault="0091227C" w:rsidP="00E157D9">
      <w:pPr>
        <w:pStyle w:val="CommentText"/>
        <w:spacing w:after="60"/>
        <w:ind w:left="720" w:hanging="720"/>
      </w:pPr>
      <w:r w:rsidRPr="001A0B66">
        <w:rPr>
          <w:rStyle w:val="FootnoteReference"/>
          <w:rFonts w:cs="David"/>
          <w:sz w:val="18"/>
          <w:rtl/>
        </w:rPr>
        <w:footnoteRef/>
      </w:r>
      <w:r w:rsidRPr="001A0B66">
        <w:rPr>
          <w:rStyle w:val="FootnoteReference"/>
          <w:rFonts w:cs="David"/>
          <w:sz w:val="18"/>
          <w:rtl/>
        </w:rPr>
        <w:tab/>
      </w:r>
      <w:r w:rsidRPr="001A0B66">
        <w:rPr>
          <w:szCs w:val="20"/>
          <w:rtl/>
        </w:rPr>
        <w:t xml:space="preserve">קרבס מסבירה ומרחיבה על הדרכים והמקומות בהם המנגנון הקיים כושל. קרבס 2014, לעיל </w:t>
      </w:r>
      <w:proofErr w:type="spellStart"/>
      <w:r w:rsidRPr="001A0B66">
        <w:rPr>
          <w:szCs w:val="20"/>
          <w:rtl/>
        </w:rPr>
        <w:t>ה"ש</w:t>
      </w:r>
      <w:proofErr w:type="spellEnd"/>
      <w:r w:rsidRPr="001A0B66">
        <w:rPr>
          <w:szCs w:val="20"/>
          <w:rtl/>
        </w:rPr>
        <w:t xml:space="preserve"> 5, בעמ' 204-192.</w:t>
      </w:r>
    </w:p>
  </w:footnote>
  <w:footnote w:id="39">
    <w:p w14:paraId="3BF860A7" w14:textId="77777777" w:rsidR="0019600D" w:rsidRDefault="0091227C" w:rsidP="00E157D9">
      <w:pPr>
        <w:pStyle w:val="FootnoteText"/>
        <w:spacing w:after="60"/>
      </w:pPr>
      <w:r>
        <w:rPr>
          <w:rStyle w:val="FootnoteReference"/>
        </w:rPr>
        <w:footnoteRef/>
      </w:r>
      <w:r>
        <w:rPr>
          <w:rtl/>
        </w:rPr>
        <w:t xml:space="preserve"> </w:t>
      </w:r>
      <w:r>
        <w:rPr>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w:t>
      </w:r>
      <w:r>
        <w:rPr>
          <w:sz w:val="18"/>
          <w:rtl/>
        </w:rPr>
        <w:t>.</w:t>
      </w:r>
    </w:p>
  </w:footnote>
  <w:footnote w:id="40">
    <w:p w14:paraId="42A0AE3A" w14:textId="77777777" w:rsidR="0019600D" w:rsidRDefault="00997116" w:rsidP="00997116">
      <w:pPr>
        <w:pStyle w:val="CommentText"/>
        <w:spacing w:after="60"/>
        <w:ind w:left="720" w:hanging="720"/>
      </w:pPr>
      <w:r w:rsidRPr="001A0B66">
        <w:rPr>
          <w:rStyle w:val="FootnoteReference"/>
          <w:rFonts w:cs="David"/>
          <w:sz w:val="18"/>
          <w:rtl/>
        </w:rPr>
        <w:footnoteRef/>
      </w:r>
      <w:r w:rsidRPr="001A0B66">
        <w:rPr>
          <w:rStyle w:val="FootnoteReference"/>
          <w:rFonts w:cs="David"/>
          <w:sz w:val="18"/>
          <w:rtl/>
        </w:rPr>
        <w:tab/>
      </w:r>
      <w:r>
        <w:rPr>
          <w:szCs w:val="20"/>
          <w:rtl/>
        </w:rPr>
        <w:t xml:space="preserve">ברק-ארז </w:t>
      </w:r>
      <w:proofErr w:type="spellStart"/>
      <w:r>
        <w:rPr>
          <w:szCs w:val="20"/>
          <w:rtl/>
        </w:rPr>
        <w:t>ווקסמן</w:t>
      </w:r>
      <w:proofErr w:type="spellEnd"/>
      <w:r>
        <w:rPr>
          <w:szCs w:val="20"/>
          <w:rtl/>
        </w:rPr>
        <w:t xml:space="preserve">, </w:t>
      </w:r>
      <w:r w:rsidR="001B7164">
        <w:rPr>
          <w:szCs w:val="20"/>
          <w:rtl/>
        </w:rPr>
        <w:t>שם</w:t>
      </w:r>
      <w:r>
        <w:rPr>
          <w:szCs w:val="20"/>
          <w:rtl/>
        </w:rPr>
        <w:t xml:space="preserve">, מסכימים כי תיאורטית שני המודלים אינם בהכרח חלופיים, וכי הם עשויים להיות משלימים, אך </w:t>
      </w:r>
      <w:r w:rsidR="00961E74">
        <w:rPr>
          <w:szCs w:val="20"/>
          <w:rtl/>
        </w:rPr>
        <w:t xml:space="preserve">הם </w:t>
      </w:r>
      <w:r>
        <w:rPr>
          <w:szCs w:val="20"/>
          <w:rtl/>
        </w:rPr>
        <w:t>מתייחסים אליהם בפועל כחלופיים.</w:t>
      </w:r>
    </w:p>
  </w:footnote>
  <w:footnote w:id="41">
    <w:p w14:paraId="2948AC7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יצחק זמיר "זכויות האדם ובטחון המדינה" </w:t>
      </w:r>
      <w:r w:rsidRPr="001A0B66">
        <w:rPr>
          <w:b/>
          <w:bCs/>
          <w:sz w:val="18"/>
          <w:rtl/>
        </w:rPr>
        <w:t xml:space="preserve">משפטים </w:t>
      </w:r>
      <w:r w:rsidRPr="001A0B66">
        <w:rPr>
          <w:sz w:val="18"/>
          <w:rtl/>
        </w:rPr>
        <w:t>17, 35–36 (1989).</w:t>
      </w:r>
    </w:p>
  </w:footnote>
  <w:footnote w:id="42">
    <w:p w14:paraId="640CBF9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כדי לכלול בשפת הכתיבה עורכות דין ועורכי דין כאחד, נשתמש להלן בלשון זכר ונקבה לסירוגין (כלומר לפעמים "עורך דין" ולפעמים "עורכת דין"). </w:t>
      </w:r>
    </w:p>
  </w:footnote>
  <w:footnote w:id="43">
    <w:p w14:paraId="58201CAA"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1 להצעת החוק.</w:t>
      </w:r>
    </w:p>
  </w:footnote>
  <w:footnote w:id="44">
    <w:p w14:paraId="62F880CB"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2 להצעת החוק – סעיף ההגדרות.</w:t>
      </w:r>
    </w:p>
  </w:footnote>
  <w:footnote w:id="45">
    <w:p w14:paraId="7271E02F"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4(א) להצעת החוק.</w:t>
      </w:r>
    </w:p>
  </w:footnote>
  <w:footnote w:id="46">
    <w:p w14:paraId="15B24F42"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3 להצעת החוק.</w:t>
      </w:r>
    </w:p>
  </w:footnote>
  <w:footnote w:id="47">
    <w:p w14:paraId="749744E8"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4(ב) להצעת החוק.</w:t>
      </w:r>
    </w:p>
  </w:footnote>
  <w:footnote w:id="48">
    <w:p w14:paraId="6A3B5F61"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4(ה) להצעת החוק.</w:t>
      </w:r>
    </w:p>
  </w:footnote>
  <w:footnote w:id="49">
    <w:p w14:paraId="02C70A0C"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4(ו) להצעת החוק.</w:t>
      </w:r>
    </w:p>
  </w:footnote>
  <w:footnote w:id="50">
    <w:p w14:paraId="28D920DD"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4(ז) להצעת החוק.</w:t>
      </w:r>
    </w:p>
  </w:footnote>
  <w:footnote w:id="51">
    <w:p w14:paraId="2CCE8219"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4(ד) להצעת החוק.</w:t>
      </w:r>
    </w:p>
  </w:footnote>
  <w:footnote w:id="52">
    <w:p w14:paraId="0961D253"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5 להצעת החוק.</w:t>
      </w:r>
    </w:p>
  </w:footnote>
  <w:footnote w:id="53">
    <w:p w14:paraId="08CE7A72"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סעיף 7 (3) לחוק שירות הביטחון הכללי, תשס"ב-2002.</w:t>
      </w:r>
    </w:p>
  </w:footnote>
  <w:footnote w:id="54">
    <w:p w14:paraId="743C150B"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יש לשים לב כי לפי חוק שירות הביטחון הכללי, התשס"ב-2002 השב"כ אחראי הן לקביעת רמת הסיווג הביטחוני והן לקביעת התאמתו של המועמד הספציפי לסיווג הנדרש, זאת ביחס למינויים בשירות הציבורי ובגופים נוספים, למעט נבחרי ציבור ושופטים. ראו סעיף 7(ב)(3) לחוק שירות הביטחון הכללי, התשס"ב-2002 וכן תקנה 3 לתקנות שירות הביטחון הכללי התשס"ג-2003</w:t>
      </w:r>
      <w:r w:rsidRPr="001A0B66">
        <w:rPr>
          <w:rtl/>
          <w:lang w:eastAsia="he-IL"/>
        </w:rPr>
        <w:t xml:space="preserve">. </w:t>
      </w:r>
      <w:bookmarkStart w:id="43" w:name="_Hlk57914890"/>
      <w:bookmarkStart w:id="44" w:name="_Hlk57914891"/>
      <w:r w:rsidRPr="001A0B66">
        <w:rPr>
          <w:rtl/>
          <w:lang w:eastAsia="he-IL"/>
        </w:rPr>
        <w:t xml:space="preserve">ראו גם טליה שטיינר </w:t>
      </w:r>
      <w:r w:rsidRPr="001A0B66">
        <w:rPr>
          <w:b/>
          <w:bCs/>
          <w:rtl/>
          <w:lang w:eastAsia="he-IL"/>
        </w:rPr>
        <w:t>שוברים אי-שוויון: התמודדות עם אפליית ערבים בשוק העבודה הישראלי – מחקר מדיניות 97</w:t>
      </w:r>
      <w:r w:rsidRPr="001A0B66">
        <w:rPr>
          <w:rtl/>
          <w:lang w:eastAsia="he-IL"/>
        </w:rPr>
        <w:t xml:space="preserve"> (המכון הישראלי לדמוקרטיה, 2013), עמ' 140 (להלן: שטיינר, אפליית ערבים בשוק העבודה).</w:t>
      </w:r>
      <w:bookmarkEnd w:id="43"/>
      <w:bookmarkEnd w:id="44"/>
      <w:r w:rsidRPr="001A0B66">
        <w:rPr>
          <w:rtl/>
          <w:lang w:eastAsia="he-IL"/>
        </w:rPr>
        <w:t xml:space="preserve"> </w:t>
      </w:r>
      <w:r w:rsidRPr="001A0B66">
        <w:rPr>
          <w:rtl/>
        </w:rPr>
        <w:t xml:space="preserve">לעמדתנו יש לאמץ מידה של החרגה של ההסדר ביחס לסיווג הביטחוני של עורכי הדין המיוחדים. בדומה לשופטים שהם קטגוריה הזוכה להחרגה שכזו – בין היתר בהיותם גורם עצמאי המבקר גם את השב"כ – גם עורכי הדין המיוחדים אמורים להפעיל בקרה ישירה על התנהלות השב"כ. הצעתנו הקונקרטית היא להשתמש בוועדה הפועלת מכוח סעיפים 317 ו 318 לחוק השיפוט הצבאי, התשט"ו-1955. ההצעה מפורטת להלן בטקסט המלווה את </w:t>
      </w:r>
      <w:proofErr w:type="spellStart"/>
      <w:r w:rsidRPr="001A0B66">
        <w:rPr>
          <w:rtl/>
        </w:rPr>
        <w:t>ה"ש</w:t>
      </w:r>
      <w:proofErr w:type="spellEnd"/>
      <w:r w:rsidRPr="001A0B66">
        <w:rPr>
          <w:rtl/>
        </w:rPr>
        <w:t xml:space="preserve"> 96-93. </w:t>
      </w:r>
    </w:p>
  </w:footnote>
  <w:footnote w:id="55">
    <w:p w14:paraId="40003896"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6 להצעת החוק.</w:t>
      </w:r>
    </w:p>
  </w:footnote>
  <w:footnote w:id="56">
    <w:p w14:paraId="6387BA6A"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7(א) להצעת החוק.</w:t>
      </w:r>
    </w:p>
  </w:footnote>
  <w:footnote w:id="57">
    <w:p w14:paraId="6907723C"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7(ב) להצעת החוק.</w:t>
      </w:r>
    </w:p>
  </w:footnote>
  <w:footnote w:id="58">
    <w:p w14:paraId="5DB6600E"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7(ה) להצעת החוק.</w:t>
      </w:r>
    </w:p>
  </w:footnote>
  <w:footnote w:id="59">
    <w:p w14:paraId="388FE762"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7(ו) להצעת החוק.</w:t>
      </w:r>
    </w:p>
  </w:footnote>
  <w:footnote w:id="60">
    <w:p w14:paraId="03AC5C78" w14:textId="77777777" w:rsidR="0019600D" w:rsidRDefault="0091227C" w:rsidP="00E157D9">
      <w:pPr>
        <w:pStyle w:val="FootnoteText"/>
        <w:spacing w:after="60"/>
      </w:pPr>
      <w:r w:rsidRPr="001A0B66">
        <w:rPr>
          <w:rStyle w:val="FootnoteReference"/>
          <w:rFonts w:cs="David"/>
          <w:rtl/>
        </w:rPr>
        <w:footnoteRef/>
      </w:r>
      <w:r w:rsidRPr="001A0B66">
        <w:rPr>
          <w:rtl/>
        </w:rPr>
        <w:t xml:space="preserve"> </w:t>
      </w:r>
      <w:r w:rsidRPr="001A0B66">
        <w:rPr>
          <w:rtl/>
        </w:rPr>
        <w:tab/>
      </w:r>
      <w:r w:rsidRPr="001A0B66">
        <w:rPr>
          <w:rtl/>
        </w:rPr>
        <w:t>ס' 8 להצעת החוק.</w:t>
      </w:r>
    </w:p>
  </w:footnote>
  <w:footnote w:id="61">
    <w:p w14:paraId="06640E1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עניין </w:t>
      </w:r>
      <w:r w:rsidRPr="001A0B66">
        <w:rPr>
          <w:b/>
          <w:bCs/>
          <w:sz w:val="18"/>
          <w:rtl/>
        </w:rPr>
        <w:t>אבו סעדה</w:t>
      </w:r>
      <w:r w:rsidRPr="001A0B66">
        <w:rPr>
          <w:sz w:val="18"/>
          <w:rtl/>
        </w:rPr>
        <w:t xml:space="preserve">,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Ref53029853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3</w:t>
      </w:r>
      <w:r w:rsidRPr="001A0B66">
        <w:rPr>
          <w:sz w:val="18"/>
          <w:rtl/>
        </w:rPr>
        <w:fldChar w:fldCharType="end"/>
      </w:r>
      <w:r w:rsidRPr="001A0B66">
        <w:rPr>
          <w:sz w:val="18"/>
          <w:rtl/>
        </w:rPr>
        <w:t>.</w:t>
      </w:r>
    </w:p>
  </w:footnote>
  <w:footnote w:id="62">
    <w:p w14:paraId="477E0996" w14:textId="77777777" w:rsidR="0091227C" w:rsidRPr="001A0B66" w:rsidRDefault="0091227C" w:rsidP="00E157D9">
      <w:pPr>
        <w:pStyle w:val="FootnoteText"/>
        <w:spacing w:after="60"/>
        <w:rPr>
          <w:sz w:val="18"/>
          <w:rtl/>
        </w:rPr>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לסקירה משפטית השוואתית מקיפה של מודל עורכי הדין המיוחדים בקנדה, בבריטניה, בניו-זילנד ובדנמרק, ראו דוח של הלשכה המשפטית (תחום חקיקה ומחקר משפטי) בכנסת, מ 2016 (להלן: </w:t>
      </w:r>
      <w:bookmarkStart w:id="49" w:name="_Hlk67583650"/>
      <w:r w:rsidRPr="001A0B66">
        <w:rPr>
          <w:sz w:val="18"/>
          <w:rtl/>
        </w:rPr>
        <w:t>סקירת הלשכה המשפטית בכנסת</w:t>
      </w:r>
      <w:bookmarkEnd w:id="49"/>
      <w:r w:rsidRPr="001A0B66">
        <w:rPr>
          <w:sz w:val="18"/>
          <w:rtl/>
        </w:rPr>
        <w:t>):</w:t>
      </w:r>
    </w:p>
    <w:p w14:paraId="494288EC" w14:textId="77777777" w:rsidR="0019600D" w:rsidRDefault="0091227C" w:rsidP="00E157D9">
      <w:pPr>
        <w:pStyle w:val="FootnoteText"/>
        <w:bidi w:val="0"/>
        <w:spacing w:after="60"/>
      </w:pPr>
      <w:r w:rsidRPr="001A0B66">
        <w:rPr>
          <w:sz w:val="18"/>
          <w:rtl/>
        </w:rPr>
        <w:t xml:space="preserve"> </w:t>
      </w:r>
      <w:hyperlink r:id="rId5" w:history="1">
        <w:r w:rsidRPr="001A0B66">
          <w:rPr>
            <w:rStyle w:val="Hyperlink"/>
            <w:rFonts w:cs="David"/>
          </w:rPr>
          <w:t>https://fs.knesset.gov.il/globaldocs/MMM/bf70aa75-2f7b-e511-80d1-00155d0ad6b2/2_bf70aa75-2f7b-e511-80d1-00155d0ad6b2_11_9433.pdf</w:t>
        </w:r>
      </w:hyperlink>
      <w:r w:rsidRPr="001A0B66">
        <w:rPr>
          <w:rtl/>
        </w:rPr>
        <w:tab/>
      </w:r>
    </w:p>
  </w:footnote>
  <w:footnote w:id="63">
    <w:p w14:paraId="188B9FE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25–27; </w:t>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E72F1B">
        <w:rPr>
          <w:sz w:val="18"/>
          <w:rtl/>
        </w:rPr>
        <w:t>20</w:t>
      </w:r>
      <w:r w:rsidRPr="001A0B66">
        <w:rPr>
          <w:sz w:val="18"/>
          <w:rtl/>
        </w:rPr>
        <w:t xml:space="preserve">, בעמ' 82; </w:t>
      </w:r>
      <w:r w:rsidRPr="001A0B66">
        <w:rPr>
          <w:smallCaps/>
          <w:sz w:val="18"/>
        </w:rPr>
        <w:t>David Anderson &amp; Clive Walker, Deportation with Assurances</w:t>
      </w:r>
      <w:r w:rsidRPr="001A0B66">
        <w:rPr>
          <w:sz w:val="18"/>
        </w:rPr>
        <w:t xml:space="preserve"> 21–26 (2017) </w:t>
      </w:r>
      <w:hyperlink r:id="rId6" w:history="1">
        <w:r w:rsidRPr="001A0B66">
          <w:rPr>
            <w:rStyle w:val="Hyperlink"/>
            <w:rFonts w:cs="David"/>
            <w:sz w:val="18"/>
          </w:rPr>
          <w:t>https://assets.publishing.service.gov.uk/government/uploads/system/uploads/</w:t>
        </w:r>
        <w:r w:rsidRPr="001A0B66">
          <w:rPr>
            <w:rStyle w:val="Hyperlink"/>
            <w:rFonts w:cs="David"/>
            <w:sz w:val="18"/>
          </w:rPr>
          <w:br/>
        </w:r>
        <w:proofErr w:type="spellStart"/>
        <w:r w:rsidRPr="001A0B66">
          <w:rPr>
            <w:rStyle w:val="Hyperlink"/>
            <w:rFonts w:cs="David"/>
            <w:sz w:val="18"/>
          </w:rPr>
          <w:t>attachment_data</w:t>
        </w:r>
        <w:proofErr w:type="spellEnd"/>
        <w:r w:rsidRPr="001A0B66">
          <w:rPr>
            <w:rStyle w:val="Hyperlink"/>
            <w:rFonts w:cs="David"/>
            <w:sz w:val="18"/>
          </w:rPr>
          <w:t>/file/630809/59541_Cm_9462_Accessible.pdf</w:t>
        </w:r>
      </w:hyperlink>
      <w:r w:rsidRPr="001A0B66">
        <w:rPr>
          <w:sz w:val="18"/>
          <w:rtl/>
        </w:rPr>
        <w:t xml:space="preserve"> (להלן: אנדרסון וווקר).</w:t>
      </w:r>
    </w:p>
  </w:footnote>
  <w:footnote w:id="64">
    <w:p w14:paraId="3F811B8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קרבס 2014, לעיל </w:t>
      </w:r>
      <w:proofErr w:type="spellStart"/>
      <w:r w:rsidRPr="001A0B66">
        <w:rPr>
          <w:sz w:val="18"/>
          <w:rtl/>
        </w:rPr>
        <w:t>ה"ש</w:t>
      </w:r>
      <w:proofErr w:type="spellEnd"/>
      <w:r w:rsidRPr="001A0B66">
        <w:rPr>
          <w:sz w:val="18"/>
          <w:rtl/>
        </w:rPr>
        <w:t xml:space="preserve"> 5, בעמ' 182.</w:t>
      </w:r>
    </w:p>
  </w:footnote>
  <w:footnote w:id="65">
    <w:p w14:paraId="570B05D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26; סקירת הלשכה המשפטית בכנסת, לעיל </w:t>
      </w:r>
      <w:proofErr w:type="spellStart"/>
      <w:r w:rsidRPr="001A0B66">
        <w:rPr>
          <w:sz w:val="18"/>
          <w:rtl/>
        </w:rPr>
        <w:t>ה"ש</w:t>
      </w:r>
      <w:proofErr w:type="spellEnd"/>
      <w:r w:rsidRPr="001A0B66">
        <w:rPr>
          <w:sz w:val="18"/>
          <w:rtl/>
        </w:rPr>
        <w:t xml:space="preserve"> </w:t>
      </w:r>
      <w:r w:rsidR="00E72F1B">
        <w:rPr>
          <w:sz w:val="18"/>
          <w:rtl/>
        </w:rPr>
        <w:t>61</w:t>
      </w:r>
      <w:r w:rsidRPr="001A0B66">
        <w:rPr>
          <w:sz w:val="18"/>
          <w:rtl/>
        </w:rPr>
        <w:t>, בעמ' 4.</w:t>
      </w:r>
    </w:p>
  </w:footnote>
  <w:footnote w:id="66">
    <w:p w14:paraId="5CEC724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קרבס, לעיל </w:t>
      </w:r>
      <w:proofErr w:type="spellStart"/>
      <w:r w:rsidRPr="001A0B66">
        <w:rPr>
          <w:sz w:val="18"/>
          <w:rtl/>
        </w:rPr>
        <w:t>ה"ש</w:t>
      </w:r>
      <w:proofErr w:type="spellEnd"/>
      <w:r w:rsidRPr="001A0B66">
        <w:rPr>
          <w:sz w:val="18"/>
          <w:rtl/>
        </w:rPr>
        <w:t xml:space="preserve"> 5, בעמ' 677. ראו גם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Ref53027519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7</w:t>
      </w:r>
      <w:r w:rsidRPr="001A0B66">
        <w:rPr>
          <w:sz w:val="18"/>
          <w:rtl/>
        </w:rPr>
        <w:fldChar w:fldCharType="end"/>
      </w:r>
      <w:r w:rsidRPr="001A0B66">
        <w:rPr>
          <w:sz w:val="18"/>
          <w:rtl/>
        </w:rPr>
        <w:t xml:space="preserve">, בעמ' 39–42. </w:t>
      </w:r>
    </w:p>
  </w:footnote>
  <w:footnote w:id="67">
    <w:p w14:paraId="75E9182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קרבס, שם, בעמ' 653.</w:t>
      </w:r>
    </w:p>
  </w:footnote>
  <w:footnote w:id="68">
    <w:p w14:paraId="0A51AFB9"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Pr>
        <w:t xml:space="preserve">Kent Roach, </w:t>
      </w:r>
      <w:r w:rsidRPr="001A0B66">
        <w:rPr>
          <w:i/>
          <w:iCs/>
          <w:sz w:val="18"/>
        </w:rPr>
        <w:t>Must We Trade Rights for Security? The Choice between Smart, Harsh, or Proportionate Security Strategies in Canada and Britain</w:t>
      </w:r>
      <w:r w:rsidRPr="001A0B66">
        <w:rPr>
          <w:sz w:val="18"/>
        </w:rPr>
        <w:t>", 27 Cardozo L. Rev. 2151, 2192 (2006)</w:t>
      </w:r>
      <w:r w:rsidRPr="001A0B66">
        <w:rPr>
          <w:sz w:val="18"/>
          <w:rtl/>
        </w:rPr>
        <w:t xml:space="preserve"> (להלן: </w:t>
      </w:r>
      <w:proofErr w:type="spellStart"/>
      <w:r w:rsidRPr="001A0B66">
        <w:rPr>
          <w:sz w:val="18"/>
          <w:rtl/>
        </w:rPr>
        <w:t>רואץ</w:t>
      </w:r>
      <w:proofErr w:type="spellEnd"/>
      <w:r w:rsidRPr="001A0B66">
        <w:rPr>
          <w:sz w:val="18"/>
          <w:rtl/>
        </w:rPr>
        <w:t>').</w:t>
      </w:r>
    </w:p>
  </w:footnote>
  <w:footnote w:id="69">
    <w:p w14:paraId="7ACF0E5E"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28.</w:t>
      </w:r>
    </w:p>
  </w:footnote>
  <w:footnote w:id="70">
    <w:p w14:paraId="746714E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איפ</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217.</w:t>
      </w:r>
    </w:p>
  </w:footnote>
  <w:footnote w:id="71">
    <w:p w14:paraId="319992F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רואץ</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BB4FA6">
        <w:rPr>
          <w:sz w:val="18"/>
          <w:rtl/>
        </w:rPr>
        <w:t>67</w:t>
      </w:r>
      <w:r w:rsidRPr="001A0B66">
        <w:rPr>
          <w:sz w:val="18"/>
          <w:rtl/>
        </w:rPr>
        <w:t>.</w:t>
      </w:r>
    </w:p>
  </w:footnote>
  <w:footnote w:id="72">
    <w:p w14:paraId="6BA91993" w14:textId="77777777" w:rsidR="0019600D" w:rsidRDefault="0091227C" w:rsidP="00E157D9">
      <w:pPr>
        <w:pStyle w:val="FootnoteText"/>
        <w:spacing w:after="60"/>
      </w:pPr>
      <w:r w:rsidRPr="001A0B66">
        <w:rPr>
          <w:rStyle w:val="FootnoteReference"/>
          <w:rFonts w:cs="David"/>
          <w:sz w:val="18"/>
        </w:rPr>
        <w:footnoteRef/>
      </w:r>
      <w:r w:rsidRPr="001A0B66">
        <w:rPr>
          <w:rStyle w:val="FootnoteReference"/>
          <w:rFonts w:cs="David"/>
          <w:sz w:val="18"/>
          <w:rtl/>
        </w:rPr>
        <w:tab/>
      </w:r>
      <w:r w:rsidRPr="001A0B66">
        <w:rPr>
          <w:rtl/>
        </w:rPr>
        <w:t>ראו המלצות הוועדה המשותפת לזכויות אדם באנגליה</w:t>
      </w:r>
      <w:r w:rsidRPr="001A0B66">
        <w:rPr>
          <w:sz w:val="18"/>
          <w:rtl/>
        </w:rPr>
        <w:t xml:space="preserve">: </w:t>
      </w:r>
      <w:bookmarkStart w:id="58" w:name="_Hlk54545930"/>
      <w:r w:rsidRPr="001A0B66">
        <w:rPr>
          <w:smallCaps/>
          <w:sz w:val="18"/>
        </w:rPr>
        <w:t xml:space="preserve">Joint Committee on Human Rights, Counter-Terrorism Policy and Human Rights: 28 days, intercept and post-charge questioning S. 205 </w:t>
      </w:r>
      <w:bookmarkEnd w:id="58"/>
      <w:r w:rsidRPr="001A0B66">
        <w:rPr>
          <w:smallCaps/>
          <w:sz w:val="18"/>
        </w:rPr>
        <w:t xml:space="preserve">(2007) </w:t>
      </w:r>
      <w:hyperlink r:id="rId7" w:history="1">
        <w:r w:rsidRPr="001A0B66">
          <w:rPr>
            <w:rStyle w:val="Hyperlink"/>
            <w:rFonts w:cs="David"/>
            <w:sz w:val="18"/>
          </w:rPr>
          <w:t>https://publications.parliament.uk/pa/jt200607/jtselect/jtrights/157/157.pdf</w:t>
        </w:r>
      </w:hyperlink>
      <w:r w:rsidRPr="001A0B66">
        <w:rPr>
          <w:sz w:val="18"/>
          <w:rtl/>
        </w:rPr>
        <w:t>.</w:t>
      </w:r>
      <w:r w:rsidRPr="001A0B66" w:rsidDel="009D6CDD">
        <w:rPr>
          <w:sz w:val="18"/>
          <w:rtl/>
        </w:rPr>
        <w:t xml:space="preserve"> </w:t>
      </w:r>
      <w:r w:rsidRPr="001A0B66">
        <w:rPr>
          <w:sz w:val="18"/>
          <w:rtl/>
        </w:rPr>
        <w:t>ראו עוד</w:t>
      </w:r>
      <w:r w:rsidRPr="001A0B66">
        <w:rPr>
          <w:rtl/>
        </w:rPr>
        <w:t xml:space="preserve">: </w:t>
      </w:r>
      <w:r w:rsidRPr="001A0B66">
        <w:rPr>
          <w:sz w:val="18"/>
        </w:rPr>
        <w:t xml:space="preserve">Craig </w:t>
      </w:r>
      <w:proofErr w:type="spellStart"/>
      <w:r w:rsidRPr="001A0B66">
        <w:rPr>
          <w:sz w:val="18"/>
        </w:rPr>
        <w:t>Forcese</w:t>
      </w:r>
      <w:proofErr w:type="spellEnd"/>
      <w:r w:rsidRPr="001A0B66">
        <w:rPr>
          <w:sz w:val="18"/>
        </w:rPr>
        <w:t xml:space="preserve"> &amp; Lorne Waldman, </w:t>
      </w:r>
      <w:r w:rsidRPr="001A0B66">
        <w:rPr>
          <w:i/>
          <w:iCs/>
          <w:sz w:val="18"/>
        </w:rPr>
        <w:t xml:space="preserve">Seeking Justice in an Unfair Process: Lessons from Canada, the United Kingdom and New Zealand in the Use of “Special Advocates” in National Security Proceedings, </w:t>
      </w:r>
      <w:r w:rsidRPr="001A0B66">
        <w:rPr>
          <w:sz w:val="18"/>
        </w:rPr>
        <w:t>p.63 (Canadian Centre for Intelligence and Security Studies, 2007)</w:t>
      </w:r>
      <w:r w:rsidRPr="001A0B66">
        <w:rPr>
          <w:sz w:val="18"/>
          <w:rtl/>
        </w:rPr>
        <w:t xml:space="preserve"> (להלן: </w:t>
      </w:r>
      <w:proofErr w:type="spellStart"/>
      <w:r w:rsidRPr="001A0B66">
        <w:rPr>
          <w:sz w:val="18"/>
          <w:rtl/>
        </w:rPr>
        <w:t>פורסיז</w:t>
      </w:r>
      <w:proofErr w:type="spellEnd"/>
      <w:r w:rsidRPr="001A0B66">
        <w:rPr>
          <w:sz w:val="18"/>
          <w:rtl/>
        </w:rPr>
        <w:t xml:space="preserve"> </w:t>
      </w:r>
      <w:proofErr w:type="spellStart"/>
      <w:r w:rsidRPr="001A0B66">
        <w:rPr>
          <w:sz w:val="18"/>
          <w:rtl/>
        </w:rPr>
        <w:t>וולדמן</w:t>
      </w:r>
      <w:proofErr w:type="spellEnd"/>
      <w:r w:rsidRPr="001A0B66">
        <w:rPr>
          <w:sz w:val="18"/>
          <w:rtl/>
        </w:rPr>
        <w:t>)</w:t>
      </w:r>
      <w:r w:rsidRPr="001A0B66">
        <w:rPr>
          <w:rtl/>
        </w:rPr>
        <w:t xml:space="preserve">; </w:t>
      </w:r>
      <w:r w:rsidRPr="001A0B66">
        <w:rPr>
          <w:sz w:val="18"/>
          <w:rtl/>
        </w:rPr>
        <w:t xml:space="preserve">לילה מרגלית ואדם שנער </w:t>
      </w:r>
      <w:r w:rsidRPr="001A0B66">
        <w:rPr>
          <w:b/>
          <w:bCs/>
          <w:sz w:val="18"/>
          <w:rtl/>
        </w:rPr>
        <w:t>נייר עמדה בעניין תזכיר חוק המאבק בטרור, התש"ע-2010</w:t>
      </w:r>
      <w:r w:rsidRPr="001A0B66">
        <w:rPr>
          <w:sz w:val="18"/>
          <w:rtl/>
        </w:rPr>
        <w:t xml:space="preserve"> 12 (האגודה לזכויות האזרח, 2010) </w:t>
      </w:r>
      <w:hyperlink r:id="rId8" w:history="1">
        <w:r w:rsidRPr="001A0B66">
          <w:rPr>
            <w:rStyle w:val="Hyperlink"/>
            <w:rFonts w:cs="David"/>
            <w:sz w:val="18"/>
          </w:rPr>
          <w:t>https://law.acri.org.il//pdf/terror010710.pdf</w:t>
        </w:r>
      </w:hyperlink>
      <w:r w:rsidRPr="001A0B66">
        <w:rPr>
          <w:sz w:val="18"/>
          <w:rtl/>
        </w:rPr>
        <w:t xml:space="preserve"> (להלן: מרגלית ושנער).</w:t>
      </w:r>
    </w:p>
  </w:footnote>
  <w:footnote w:id="73">
    <w:p w14:paraId="51470D8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למשל את ההתייחסות למספר העצורים המנהליים בזמן האינתיפאדה השנייה אצל קרבס, לעיל </w:t>
      </w:r>
      <w:proofErr w:type="spellStart"/>
      <w:r w:rsidRPr="001A0B66">
        <w:rPr>
          <w:sz w:val="18"/>
          <w:rtl/>
        </w:rPr>
        <w:t>ה"ש</w:t>
      </w:r>
      <w:proofErr w:type="spellEnd"/>
      <w:r w:rsidRPr="001A0B66">
        <w:rPr>
          <w:sz w:val="18"/>
          <w:rtl/>
        </w:rPr>
        <w:t xml:space="preserve"> 5, בעמ' 654.</w:t>
      </w:r>
    </w:p>
  </w:footnote>
  <w:footnote w:id="74">
    <w:p w14:paraId="2DDF722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6.</w:t>
      </w:r>
    </w:p>
  </w:footnote>
  <w:footnote w:id="75">
    <w:p w14:paraId="702A0D4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ס' 65(ג) לחוק המאבק בטרור.</w:t>
      </w:r>
    </w:p>
  </w:footnote>
  <w:footnote w:id="76">
    <w:p w14:paraId="184CBDA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Pr>
        <w:t>A. v. United Kingdom, App. No 3455/05, Eur. Ct. H.R. 84 (2009)</w:t>
      </w:r>
      <w:r w:rsidRPr="001A0B66">
        <w:rPr>
          <w:sz w:val="18"/>
          <w:rtl/>
        </w:rPr>
        <w:t xml:space="preserve"> (להלן: עניין </w:t>
      </w:r>
      <w:r w:rsidRPr="001A0B66">
        <w:rPr>
          <w:b/>
          <w:bCs/>
          <w:sz w:val="18"/>
          <w:rtl/>
        </w:rPr>
        <w:t>א' נ' הממלכה המאוחדת</w:t>
      </w:r>
      <w:r w:rsidRPr="001A0B66">
        <w:rPr>
          <w:sz w:val="18"/>
          <w:rtl/>
        </w:rPr>
        <w:t xml:space="preserve">); 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17–18; מרגלית ושנער, לעיל </w:t>
      </w:r>
      <w:proofErr w:type="spellStart"/>
      <w:r w:rsidRPr="001A0B66">
        <w:rPr>
          <w:sz w:val="18"/>
          <w:rtl/>
        </w:rPr>
        <w:t>ה"ש</w:t>
      </w:r>
      <w:proofErr w:type="spellEnd"/>
      <w:r w:rsidRPr="001A0B66">
        <w:rPr>
          <w:sz w:val="18"/>
          <w:rtl/>
        </w:rPr>
        <w:t xml:space="preserve"> </w:t>
      </w:r>
      <w:r w:rsidR="00123C19">
        <w:rPr>
          <w:sz w:val="18"/>
          <w:rtl/>
        </w:rPr>
        <w:t>71</w:t>
      </w:r>
      <w:r w:rsidRPr="001A0B66">
        <w:rPr>
          <w:sz w:val="18"/>
          <w:rtl/>
        </w:rPr>
        <w:t xml:space="preserve">, בעמ' 10. </w:t>
      </w:r>
      <w:r w:rsidRPr="001A0B66">
        <w:rPr>
          <w:sz w:val="18"/>
          <w:rtl/>
        </w:rPr>
        <w:t>בית הדין האירופי לצדק, שדן אף הוא בנושא של ראיות חסויות, קבע כי יש ליידע את האדם לכל הפחות במהות (</w:t>
      </w:r>
      <w:proofErr w:type="spellStart"/>
      <w:r w:rsidRPr="001A0B66">
        <w:rPr>
          <w:sz w:val="18"/>
          <w:rtl/>
        </w:rPr>
        <w:t>essence</w:t>
      </w:r>
      <w:proofErr w:type="spellEnd"/>
      <w:r w:rsidRPr="001A0B66">
        <w:rPr>
          <w:sz w:val="18"/>
          <w:rtl/>
        </w:rPr>
        <w:t xml:space="preserve">) החשדות שבגינם ננקטו נגדו הליכים: </w:t>
      </w:r>
      <w:r w:rsidRPr="001A0B66">
        <w:rPr>
          <w:rFonts w:asciiTheme="majorBidi" w:hAnsiTheme="majorBidi" w:cs="Times New Roman"/>
          <w:sz w:val="18"/>
        </w:rPr>
        <w:t xml:space="preserve">Case C-300/11, ZZ v. Sec'y of State for the Home </w:t>
      </w:r>
      <w:proofErr w:type="spellStart"/>
      <w:r w:rsidRPr="001A0B66">
        <w:rPr>
          <w:rFonts w:asciiTheme="majorBidi" w:hAnsiTheme="majorBidi" w:cs="Times New Roman"/>
          <w:sz w:val="18"/>
        </w:rPr>
        <w:t>Dep't</w:t>
      </w:r>
      <w:proofErr w:type="spellEnd"/>
      <w:r w:rsidRPr="001A0B66">
        <w:rPr>
          <w:rFonts w:asciiTheme="majorBidi" w:hAnsiTheme="majorBidi" w:cs="Times New Roman"/>
          <w:sz w:val="18"/>
        </w:rPr>
        <w:t>,</w:t>
      </w:r>
      <w:r w:rsidRPr="001A0B66">
        <w:rPr>
          <w:rFonts w:asciiTheme="majorBidi" w:hAnsiTheme="majorBidi" w:cs="Times New Roman"/>
          <w:sz w:val="18"/>
          <w:rtl/>
        </w:rPr>
        <w:t xml:space="preserve"> ECLI:EU:C:2013:363</w:t>
      </w:r>
      <w:r w:rsidRPr="001A0B66" w:rsidDel="00073B36">
        <w:rPr>
          <w:rFonts w:asciiTheme="majorBidi" w:hAnsiTheme="majorBidi" w:cs="Times New Roman"/>
          <w:sz w:val="18"/>
          <w:rtl/>
        </w:rPr>
        <w:t xml:space="preserve"> </w:t>
      </w:r>
      <w:r w:rsidRPr="001A0B66">
        <w:rPr>
          <w:rFonts w:asciiTheme="majorBidi" w:hAnsiTheme="majorBidi" w:cs="Times New Roman"/>
          <w:sz w:val="18"/>
          <w:rtl/>
        </w:rPr>
        <w:t>(</w:t>
      </w:r>
      <w:proofErr w:type="spellStart"/>
      <w:r w:rsidRPr="001A0B66">
        <w:rPr>
          <w:rFonts w:asciiTheme="majorBidi" w:hAnsiTheme="majorBidi" w:cs="Times New Roman"/>
          <w:sz w:val="18"/>
          <w:rtl/>
        </w:rPr>
        <w:t>June</w:t>
      </w:r>
      <w:proofErr w:type="spellEnd"/>
      <w:r w:rsidRPr="001A0B66">
        <w:rPr>
          <w:rFonts w:asciiTheme="majorBidi" w:hAnsiTheme="majorBidi" w:cs="Times New Roman"/>
          <w:sz w:val="18"/>
          <w:rtl/>
        </w:rPr>
        <w:t xml:space="preserve"> 4, 2013)</w:t>
      </w:r>
      <w:r w:rsidRPr="001A0B66">
        <w:rPr>
          <w:sz w:val="18"/>
          <w:rtl/>
        </w:rPr>
        <w:t xml:space="preserve">. ראו עוד </w:t>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בעמ' 163–165.</w:t>
      </w:r>
    </w:p>
  </w:footnote>
  <w:footnote w:id="77">
    <w:p w14:paraId="53148D8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אנדרסון וווקר, לעיל </w:t>
      </w:r>
      <w:proofErr w:type="spellStart"/>
      <w:r w:rsidRPr="001A0B66">
        <w:rPr>
          <w:sz w:val="18"/>
          <w:rtl/>
        </w:rPr>
        <w:t>ה"ש</w:t>
      </w:r>
      <w:proofErr w:type="spellEnd"/>
      <w:r w:rsidRPr="001A0B66">
        <w:rPr>
          <w:sz w:val="18"/>
          <w:rtl/>
        </w:rPr>
        <w:t xml:space="preserve"> </w:t>
      </w:r>
      <w:r w:rsidR="00123C19">
        <w:rPr>
          <w:sz w:val="18"/>
          <w:rtl/>
        </w:rPr>
        <w:t>62</w:t>
      </w:r>
      <w:r w:rsidRPr="001A0B66">
        <w:rPr>
          <w:sz w:val="18"/>
          <w:rtl/>
        </w:rPr>
        <w:t>.</w:t>
      </w:r>
    </w:p>
  </w:footnote>
  <w:footnote w:id="78">
    <w:p w14:paraId="56874AE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עניין </w:t>
      </w:r>
      <w:r w:rsidRPr="001A0B66">
        <w:rPr>
          <w:b/>
          <w:bCs/>
          <w:sz w:val="18"/>
          <w:rtl/>
        </w:rPr>
        <w:t>א' נ' הממלכה המאוחדת</w:t>
      </w:r>
      <w:r w:rsidRPr="001A0B66">
        <w:rPr>
          <w:sz w:val="18"/>
          <w:rtl/>
        </w:rPr>
        <w:t xml:space="preserve">, לעיל </w:t>
      </w:r>
      <w:proofErr w:type="spellStart"/>
      <w:r w:rsidRPr="001A0B66">
        <w:rPr>
          <w:sz w:val="18"/>
          <w:rtl/>
        </w:rPr>
        <w:t>ה"ש</w:t>
      </w:r>
      <w:proofErr w:type="spellEnd"/>
      <w:r w:rsidRPr="001A0B66">
        <w:rPr>
          <w:sz w:val="18"/>
          <w:rtl/>
        </w:rPr>
        <w:t xml:space="preserve"> </w:t>
      </w:r>
      <w:r w:rsidR="00123C19">
        <w:rPr>
          <w:sz w:val="18"/>
          <w:rtl/>
        </w:rPr>
        <w:t>75</w:t>
      </w:r>
      <w:r w:rsidRPr="001A0B66">
        <w:rPr>
          <w:sz w:val="18"/>
          <w:rtl/>
        </w:rPr>
        <w:t xml:space="preserve"> (תרגום מובא אצל </w:t>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בעמ' 162). השוו גם לדבריו הידועים של השופט </w:t>
      </w:r>
      <w:proofErr w:type="spellStart"/>
      <w:r w:rsidRPr="001A0B66">
        <w:rPr>
          <w:sz w:val="18"/>
          <w:rtl/>
        </w:rPr>
        <w:t>לנדוי</w:t>
      </w:r>
      <w:proofErr w:type="spellEnd"/>
      <w:r w:rsidRPr="001A0B66">
        <w:rPr>
          <w:sz w:val="18"/>
          <w:rtl/>
        </w:rPr>
        <w:t xml:space="preserve"> בבג"ץ 111/53 </w:t>
      </w:r>
      <w:r w:rsidRPr="001A0B66">
        <w:rPr>
          <w:b/>
          <w:bCs/>
          <w:sz w:val="18"/>
          <w:rtl/>
        </w:rPr>
        <w:t>קאופמן נ' שר הפנים</w:t>
      </w:r>
      <w:r w:rsidRPr="001A0B66">
        <w:rPr>
          <w:sz w:val="18"/>
          <w:rtl/>
        </w:rPr>
        <w:t>, פ"ד ז 534, 541 (1953): "את טענות הצד שכנגד אפשר לסתור רק כשהן ידועות; עם ספינקס אי אפשר להתווכח".</w:t>
      </w:r>
    </w:p>
  </w:footnote>
  <w:footnote w:id="79">
    <w:p w14:paraId="1F51D40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המקורות </w:t>
      </w:r>
      <w:proofErr w:type="spellStart"/>
      <w:r w:rsidRPr="001A0B66">
        <w:rPr>
          <w:sz w:val="18"/>
          <w:rtl/>
        </w:rPr>
        <w:t>בה"ש</w:t>
      </w:r>
      <w:proofErr w:type="spellEnd"/>
      <w:r w:rsidRPr="001A0B66">
        <w:rPr>
          <w:sz w:val="18"/>
          <w:rtl/>
        </w:rPr>
        <w:t xml:space="preserve"> </w:t>
      </w:r>
      <w:r w:rsidR="00123C19">
        <w:rPr>
          <w:sz w:val="18"/>
          <w:rtl/>
        </w:rPr>
        <w:t>20</w:t>
      </w:r>
      <w:r w:rsidRPr="001A0B66">
        <w:rPr>
          <w:sz w:val="18"/>
          <w:rtl/>
        </w:rPr>
        <w:t xml:space="preserve"> לעיל.</w:t>
      </w:r>
    </w:p>
  </w:footnote>
  <w:footnote w:id="80">
    <w:p w14:paraId="2140661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עניין </w:t>
      </w:r>
      <w:r w:rsidRPr="001A0B66">
        <w:rPr>
          <w:b/>
          <w:bCs/>
          <w:sz w:val="18"/>
          <w:rtl/>
        </w:rPr>
        <w:t>עברה</w:t>
      </w:r>
      <w:r w:rsidRPr="001A0B66">
        <w:rPr>
          <w:sz w:val="18"/>
          <w:rtl/>
        </w:rPr>
        <w:t xml:space="preserve">, לעיל </w:t>
      </w:r>
      <w:proofErr w:type="spellStart"/>
      <w:r w:rsidRPr="001A0B66">
        <w:rPr>
          <w:sz w:val="18"/>
          <w:rtl/>
        </w:rPr>
        <w:t>ה"ש</w:t>
      </w:r>
      <w:proofErr w:type="spellEnd"/>
      <w:r w:rsidRPr="001A0B66">
        <w:rPr>
          <w:sz w:val="18"/>
          <w:rtl/>
        </w:rPr>
        <w:t xml:space="preserve"> 2</w:t>
      </w:r>
      <w:r w:rsidR="00123C19">
        <w:rPr>
          <w:sz w:val="18"/>
          <w:rtl/>
        </w:rPr>
        <w:t>5</w:t>
      </w:r>
      <w:r w:rsidRPr="001A0B66">
        <w:rPr>
          <w:sz w:val="18"/>
          <w:rtl/>
        </w:rPr>
        <w:t xml:space="preserve">. </w:t>
      </w:r>
    </w:p>
  </w:footnote>
  <w:footnote w:id="81">
    <w:p w14:paraId="3E994DC2" w14:textId="77777777" w:rsidR="0019600D" w:rsidRDefault="0091227C" w:rsidP="00E157D9">
      <w:pPr>
        <w:pStyle w:val="CommentText"/>
        <w:spacing w:after="60"/>
        <w:ind w:left="720" w:hanging="692"/>
      </w:pPr>
      <w:r w:rsidRPr="001A0B66">
        <w:rPr>
          <w:rStyle w:val="FootnoteReference"/>
          <w:rFonts w:cs="David"/>
          <w:szCs w:val="20"/>
          <w:rtl/>
        </w:rPr>
        <w:footnoteRef/>
      </w:r>
      <w:r w:rsidRPr="001A0B66">
        <w:rPr>
          <w:rStyle w:val="FootnoteReference"/>
          <w:rFonts w:cs="David"/>
          <w:sz w:val="18"/>
          <w:rtl/>
        </w:rPr>
        <w:tab/>
      </w:r>
      <w:r w:rsidRPr="001A0B66">
        <w:rPr>
          <w:szCs w:val="20"/>
          <w:rtl/>
        </w:rPr>
        <w:t xml:space="preserve">ראו קרבס 2014, לעיל </w:t>
      </w:r>
      <w:proofErr w:type="spellStart"/>
      <w:r w:rsidRPr="001A0B66">
        <w:rPr>
          <w:szCs w:val="20"/>
          <w:rtl/>
        </w:rPr>
        <w:t>ה"ש</w:t>
      </w:r>
      <w:proofErr w:type="spellEnd"/>
      <w:r w:rsidRPr="001A0B66">
        <w:rPr>
          <w:szCs w:val="20"/>
          <w:rtl/>
        </w:rPr>
        <w:t xml:space="preserve"> 5, בעמ' 196-195; זכריה, לעיל </w:t>
      </w:r>
      <w:proofErr w:type="spellStart"/>
      <w:r w:rsidRPr="001A0B66">
        <w:rPr>
          <w:szCs w:val="20"/>
          <w:rtl/>
        </w:rPr>
        <w:t>ה"ש</w:t>
      </w:r>
      <w:proofErr w:type="spellEnd"/>
      <w:r w:rsidRPr="001A0B66">
        <w:rPr>
          <w:szCs w:val="20"/>
          <w:rtl/>
        </w:rPr>
        <w:t xml:space="preserve"> 5, ולסקי, לעיל </w:t>
      </w:r>
      <w:proofErr w:type="spellStart"/>
      <w:r w:rsidRPr="001A0B66">
        <w:rPr>
          <w:szCs w:val="20"/>
          <w:rtl/>
        </w:rPr>
        <w:t>ה"ש</w:t>
      </w:r>
      <w:proofErr w:type="spellEnd"/>
      <w:r w:rsidRPr="001A0B66">
        <w:rPr>
          <w:szCs w:val="20"/>
          <w:rtl/>
        </w:rPr>
        <w:t xml:space="preserve"> 5; </w:t>
      </w:r>
      <w:proofErr w:type="spellStart"/>
      <w:r w:rsidRPr="001A0B66">
        <w:rPr>
          <w:szCs w:val="20"/>
          <w:rtl/>
        </w:rPr>
        <w:t>קרמניצר</w:t>
      </w:r>
      <w:proofErr w:type="spellEnd"/>
      <w:r w:rsidRPr="001A0B66">
        <w:rPr>
          <w:szCs w:val="20"/>
          <w:rtl/>
        </w:rPr>
        <w:t xml:space="preserve"> ואחרים, לעיל </w:t>
      </w:r>
      <w:proofErr w:type="spellStart"/>
      <w:r w:rsidRPr="001A0B66">
        <w:rPr>
          <w:szCs w:val="20"/>
          <w:rtl/>
        </w:rPr>
        <w:t>ה"ש</w:t>
      </w:r>
      <w:proofErr w:type="spellEnd"/>
      <w:r w:rsidRPr="001A0B66">
        <w:rPr>
          <w:szCs w:val="20"/>
          <w:rtl/>
        </w:rPr>
        <w:t xml:space="preserve"> 8, בעמ' 180–181. </w:t>
      </w:r>
      <w:proofErr w:type="spellStart"/>
      <w:r w:rsidRPr="001A0B66">
        <w:rPr>
          <w:szCs w:val="20"/>
          <w:rtl/>
        </w:rPr>
        <w:t>קרמניצר</w:t>
      </w:r>
      <w:proofErr w:type="spellEnd"/>
      <w:r w:rsidRPr="001A0B66">
        <w:rPr>
          <w:szCs w:val="20"/>
          <w:rtl/>
        </w:rPr>
        <w:t xml:space="preserve"> ועמיתיו מנתחים שם בעיות דומות בשני פסקי דין אחרים: בג"ץ 5555/05 </w:t>
      </w:r>
      <w:proofErr w:type="spellStart"/>
      <w:r w:rsidRPr="001A0B66">
        <w:rPr>
          <w:b/>
          <w:bCs/>
          <w:szCs w:val="20"/>
          <w:rtl/>
        </w:rPr>
        <w:t>פדרמן</w:t>
      </w:r>
      <w:proofErr w:type="spellEnd"/>
      <w:r w:rsidRPr="001A0B66">
        <w:rPr>
          <w:b/>
          <w:bCs/>
          <w:szCs w:val="20"/>
          <w:rtl/>
        </w:rPr>
        <w:t xml:space="preserve"> נ' אלוף פיקוד המרכז</w:t>
      </w:r>
      <w:r w:rsidRPr="001A0B66">
        <w:rPr>
          <w:szCs w:val="20"/>
          <w:rtl/>
        </w:rPr>
        <w:t xml:space="preserve">, פ"ד נט(2) 865 (2005), וע"פ 1221/06 </w:t>
      </w:r>
      <w:proofErr w:type="spellStart"/>
      <w:r w:rsidRPr="001A0B66">
        <w:rPr>
          <w:b/>
          <w:bCs/>
          <w:szCs w:val="20"/>
          <w:rtl/>
        </w:rPr>
        <w:t>עיאד</w:t>
      </w:r>
      <w:proofErr w:type="spellEnd"/>
      <w:r w:rsidRPr="001A0B66">
        <w:rPr>
          <w:b/>
          <w:bCs/>
          <w:szCs w:val="20"/>
          <w:rtl/>
        </w:rPr>
        <w:t xml:space="preserve"> נ' מדינת ישראל </w:t>
      </w:r>
      <w:r w:rsidRPr="001A0B66">
        <w:rPr>
          <w:szCs w:val="20"/>
          <w:rtl/>
        </w:rPr>
        <w:t>(פורסם בנבו, 14.3.2006).</w:t>
      </w:r>
    </w:p>
  </w:footnote>
  <w:footnote w:id="82">
    <w:p w14:paraId="1A48D74E"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מרגלית ושנער, לעיל </w:t>
      </w:r>
      <w:proofErr w:type="spellStart"/>
      <w:r w:rsidRPr="001A0B66">
        <w:rPr>
          <w:sz w:val="18"/>
          <w:rtl/>
        </w:rPr>
        <w:t>ה"ש</w:t>
      </w:r>
      <w:proofErr w:type="spellEnd"/>
      <w:r w:rsidRPr="001A0B66">
        <w:rPr>
          <w:sz w:val="18"/>
          <w:rtl/>
        </w:rPr>
        <w:t xml:space="preserve"> </w:t>
      </w:r>
      <w:r w:rsidR="00123C19">
        <w:rPr>
          <w:sz w:val="18"/>
          <w:rtl/>
        </w:rPr>
        <w:t>71</w:t>
      </w:r>
      <w:r w:rsidRPr="001A0B66">
        <w:rPr>
          <w:sz w:val="18"/>
          <w:rtl/>
        </w:rPr>
        <w:t>, בעמ' 12.</w:t>
      </w:r>
    </w:p>
  </w:footnote>
  <w:footnote w:id="83">
    <w:p w14:paraId="77789E47" w14:textId="77777777" w:rsidR="0019600D" w:rsidRDefault="00F157A2" w:rsidP="00F157A2">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Pr>
          <w:sz w:val="18"/>
          <w:rtl/>
        </w:rPr>
        <w:t>בנישו</w:t>
      </w:r>
      <w:proofErr w:type="spellEnd"/>
      <w:r>
        <w:rPr>
          <w:sz w:val="18"/>
          <w:rtl/>
        </w:rPr>
        <w:t xml:space="preserve"> </w:t>
      </w:r>
      <w:proofErr w:type="spellStart"/>
      <w:r>
        <w:rPr>
          <w:sz w:val="18"/>
          <w:rtl/>
        </w:rPr>
        <w:t>ווגיסר</w:t>
      </w:r>
      <w:proofErr w:type="spellEnd"/>
      <w:r w:rsidRPr="001A0B66">
        <w:rPr>
          <w:sz w:val="18"/>
          <w:rtl/>
        </w:rPr>
        <w:t xml:space="preserve">, לעיל </w:t>
      </w:r>
      <w:proofErr w:type="spellStart"/>
      <w:r w:rsidRPr="001A0B66">
        <w:rPr>
          <w:sz w:val="18"/>
          <w:rtl/>
        </w:rPr>
        <w:t>ה"ש</w:t>
      </w:r>
      <w:proofErr w:type="spellEnd"/>
      <w:r>
        <w:rPr>
          <w:sz w:val="18"/>
          <w:rtl/>
        </w:rPr>
        <w:t xml:space="preserve"> </w:t>
      </w:r>
      <w:r w:rsidR="006F2B10">
        <w:rPr>
          <w:sz w:val="18"/>
          <w:rtl/>
        </w:rPr>
        <w:t>20</w:t>
      </w:r>
      <w:r w:rsidRPr="001A0B66">
        <w:rPr>
          <w:sz w:val="18"/>
          <w:rtl/>
        </w:rPr>
        <w:t xml:space="preserve">, </w:t>
      </w:r>
      <w:r w:rsidR="00E817FD">
        <w:rPr>
          <w:sz w:val="18"/>
          <w:rtl/>
        </w:rPr>
        <w:t>ב</w:t>
      </w:r>
      <w:r w:rsidRPr="001A0B66">
        <w:rPr>
          <w:sz w:val="18"/>
          <w:rtl/>
        </w:rPr>
        <w:t xml:space="preserve">עמ' </w:t>
      </w:r>
      <w:r>
        <w:rPr>
          <w:sz w:val="18"/>
          <w:rtl/>
        </w:rPr>
        <w:t>90</w:t>
      </w:r>
      <w:r w:rsidRPr="001A0B66">
        <w:rPr>
          <w:sz w:val="18"/>
          <w:rtl/>
        </w:rPr>
        <w:t>.</w:t>
      </w:r>
    </w:p>
  </w:footnote>
  <w:footnote w:id="84">
    <w:p w14:paraId="695D0CEA" w14:textId="77777777" w:rsidR="0019600D" w:rsidRDefault="00971128" w:rsidP="00971128">
      <w:pPr>
        <w:pStyle w:val="FootnoteText"/>
        <w:spacing w:after="60"/>
      </w:pPr>
      <w:r w:rsidRPr="001A0B66">
        <w:rPr>
          <w:rStyle w:val="FootnoteReference"/>
          <w:rFonts w:cs="David"/>
          <w:sz w:val="18"/>
          <w:rtl/>
        </w:rPr>
        <w:footnoteRef/>
      </w:r>
      <w:r w:rsidRPr="001A0B66">
        <w:rPr>
          <w:rStyle w:val="FootnoteReference"/>
          <w:rFonts w:cs="David"/>
          <w:sz w:val="18"/>
          <w:rtl/>
        </w:rPr>
        <w:tab/>
      </w:r>
      <w:r w:rsidRPr="00971128">
        <w:rPr>
          <w:rtl/>
        </w:rPr>
        <w:t xml:space="preserve">ברק-ארז </w:t>
      </w:r>
      <w:proofErr w:type="spellStart"/>
      <w:r w:rsidRPr="00971128">
        <w:rPr>
          <w:rtl/>
        </w:rPr>
        <w:t>ווקסמן</w:t>
      </w:r>
      <w:proofErr w:type="spellEnd"/>
      <w:r w:rsidRPr="00971128">
        <w:rPr>
          <w:rtl/>
        </w:rPr>
        <w:t>, לעיל</w:t>
      </w:r>
      <w:r w:rsidR="006F2B10">
        <w:rPr>
          <w:rtl/>
        </w:rPr>
        <w:t xml:space="preserve"> </w:t>
      </w:r>
      <w:proofErr w:type="spellStart"/>
      <w:r w:rsidR="006F2B10">
        <w:rPr>
          <w:rtl/>
        </w:rPr>
        <w:t>ה"ש</w:t>
      </w:r>
      <w:proofErr w:type="spellEnd"/>
      <w:r w:rsidR="006F2B10">
        <w:rPr>
          <w:rtl/>
        </w:rPr>
        <w:t xml:space="preserve"> 8,</w:t>
      </w:r>
      <w:r w:rsidRPr="00971128">
        <w:rPr>
          <w:rtl/>
        </w:rPr>
        <w:t xml:space="preserve"> </w:t>
      </w:r>
      <w:r w:rsidR="00E817FD">
        <w:rPr>
          <w:rtl/>
        </w:rPr>
        <w:t>ב</w:t>
      </w:r>
      <w:r w:rsidR="006F2B10">
        <w:rPr>
          <w:rtl/>
        </w:rPr>
        <w:t>עמ'</w:t>
      </w:r>
      <w:r w:rsidRPr="00971128">
        <w:rPr>
          <w:rtl/>
        </w:rPr>
        <w:t xml:space="preserve"> 31 מדגישים זאת במישור ההסדרה הנורמטיבית: </w:t>
      </w:r>
      <w:r w:rsidRPr="00971128">
        <w:t>"the judicial management and special advocate models operate atop the baseline gist requirement – they are not intended to supplement it."</w:t>
      </w:r>
    </w:p>
  </w:footnote>
  <w:footnote w:id="85">
    <w:p w14:paraId="31C5686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עניין </w:t>
      </w:r>
      <w:r w:rsidRPr="001A0B66">
        <w:rPr>
          <w:b/>
          <w:bCs/>
          <w:sz w:val="18"/>
          <w:rtl/>
        </w:rPr>
        <w:t>סדר</w:t>
      </w:r>
      <w:r w:rsidRPr="001A0B66">
        <w:rPr>
          <w:sz w:val="18"/>
          <w:rtl/>
        </w:rPr>
        <w:t xml:space="preserve">, לעיל </w:t>
      </w:r>
      <w:proofErr w:type="spellStart"/>
      <w:r w:rsidRPr="001A0B66">
        <w:rPr>
          <w:sz w:val="18"/>
          <w:rtl/>
        </w:rPr>
        <w:t>ה"ש</w:t>
      </w:r>
      <w:proofErr w:type="spellEnd"/>
      <w:r w:rsidRPr="001A0B66">
        <w:rPr>
          <w:sz w:val="18"/>
          <w:rtl/>
        </w:rPr>
        <w:t xml:space="preserve"> 3</w:t>
      </w:r>
      <w:r w:rsidR="00123C19">
        <w:rPr>
          <w:sz w:val="18"/>
          <w:rtl/>
        </w:rPr>
        <w:t>1</w:t>
      </w:r>
      <w:r w:rsidRPr="001A0B66">
        <w:rPr>
          <w:sz w:val="18"/>
          <w:rtl/>
        </w:rPr>
        <w:t>, בפסקה 6.</w:t>
      </w:r>
    </w:p>
  </w:footnote>
  <w:footnote w:id="86">
    <w:p w14:paraId="7D438A9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בעמ' 167. הם מפנים בהקשר זה גם לעניין </w:t>
      </w:r>
      <w:proofErr w:type="spellStart"/>
      <w:r w:rsidRPr="001A0B66">
        <w:rPr>
          <w:b/>
          <w:bCs/>
          <w:sz w:val="18"/>
          <w:rtl/>
        </w:rPr>
        <w:t>פדרמן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3</w:t>
      </w:r>
      <w:r w:rsidR="00123C19">
        <w:rPr>
          <w:sz w:val="18"/>
          <w:rtl/>
        </w:rPr>
        <w:t>1</w:t>
      </w:r>
      <w:r w:rsidRPr="001A0B66">
        <w:rPr>
          <w:sz w:val="18"/>
          <w:rtl/>
        </w:rPr>
        <w:t xml:space="preserve">. וראו עניין </w:t>
      </w:r>
      <w:r w:rsidRPr="001A0B66">
        <w:rPr>
          <w:b/>
          <w:bCs/>
          <w:sz w:val="18"/>
          <w:rtl/>
        </w:rPr>
        <w:t>אבו סעדה</w:t>
      </w:r>
      <w:r w:rsidRPr="001A0B66">
        <w:rPr>
          <w:sz w:val="18"/>
          <w:rtl/>
        </w:rPr>
        <w:t xml:space="preserve">, לעיל </w:t>
      </w:r>
      <w:proofErr w:type="spellStart"/>
      <w:r w:rsidRPr="001A0B66">
        <w:rPr>
          <w:sz w:val="18"/>
          <w:rtl/>
        </w:rPr>
        <w:t>ה"ש</w:t>
      </w:r>
      <w:proofErr w:type="spellEnd"/>
      <w:r w:rsidRPr="001A0B66">
        <w:rPr>
          <w:sz w:val="18"/>
          <w:rtl/>
        </w:rPr>
        <w:t xml:space="preserve"> 3.</w:t>
      </w:r>
    </w:p>
  </w:footnote>
  <w:footnote w:id="87">
    <w:p w14:paraId="2327B146" w14:textId="77777777" w:rsidR="0091227C" w:rsidRPr="001A0B66" w:rsidRDefault="0091227C" w:rsidP="00E157D9">
      <w:pPr>
        <w:pStyle w:val="FootnoteText"/>
        <w:tabs>
          <w:tab w:val="left" w:pos="1502"/>
        </w:tabs>
        <w:spacing w:after="60"/>
        <w:rPr>
          <w:sz w:val="18"/>
          <w:rtl/>
        </w:rPr>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בעניין זה את דבריו של השופט בך </w:t>
      </w:r>
      <w:proofErr w:type="spellStart"/>
      <w:r w:rsidRPr="001A0B66">
        <w:rPr>
          <w:sz w:val="18"/>
          <w:rtl/>
        </w:rPr>
        <w:t>בבשג"ץ</w:t>
      </w:r>
      <w:proofErr w:type="spellEnd"/>
      <w:r w:rsidRPr="001A0B66">
        <w:rPr>
          <w:sz w:val="18"/>
          <w:rtl/>
        </w:rPr>
        <w:t xml:space="preserve"> 19/86</w:t>
      </w:r>
      <w:r w:rsidRPr="001A0B66">
        <w:rPr>
          <w:b/>
          <w:bCs/>
          <w:sz w:val="18"/>
          <w:rtl/>
        </w:rPr>
        <w:t xml:space="preserve"> </w:t>
      </w:r>
      <w:proofErr w:type="spellStart"/>
      <w:r w:rsidRPr="001A0B66">
        <w:rPr>
          <w:b/>
          <w:bCs/>
          <w:sz w:val="18"/>
          <w:rtl/>
        </w:rPr>
        <w:t>אלשועייבי</w:t>
      </w:r>
      <w:proofErr w:type="spellEnd"/>
      <w:r w:rsidRPr="001A0B66">
        <w:rPr>
          <w:b/>
          <w:bCs/>
          <w:sz w:val="18"/>
          <w:rtl/>
        </w:rPr>
        <w:t xml:space="preserve"> נ' המפקח הצבאי לאזור יהודה ושומרון</w:t>
      </w:r>
      <w:r w:rsidRPr="001A0B66">
        <w:rPr>
          <w:sz w:val="18"/>
          <w:rtl/>
        </w:rPr>
        <w:t xml:space="preserve"> פ"ד מ(1) 219 (1986), 223: </w:t>
      </w:r>
    </w:p>
    <w:p w14:paraId="44C880C1" w14:textId="77777777" w:rsidR="0091227C" w:rsidRPr="001A0B66" w:rsidRDefault="0091227C" w:rsidP="00E157D9">
      <w:pPr>
        <w:pStyle w:val="FootnoteText"/>
        <w:tabs>
          <w:tab w:val="left" w:pos="1502"/>
        </w:tabs>
        <w:spacing w:after="60"/>
        <w:ind w:left="1440" w:firstLine="0"/>
        <w:rPr>
          <w:sz w:val="18"/>
          <w:rtl/>
        </w:rPr>
      </w:pPr>
      <w:r w:rsidRPr="001A0B66">
        <w:rPr>
          <w:sz w:val="18"/>
          <w:rtl/>
        </w:rPr>
        <w:t>"המונח</w:t>
      </w:r>
      <w:r w:rsidRPr="001A0B66">
        <w:rPr>
          <w:sz w:val="18"/>
          <w:rtl/>
          <w:lang w:bidi="ar-SA"/>
        </w:rPr>
        <w:t xml:space="preserve"> </w:t>
      </w:r>
      <w:r w:rsidRPr="001A0B66">
        <w:rPr>
          <w:sz w:val="18"/>
          <w:rtl/>
        </w:rPr>
        <w:t>'הסתה'</w:t>
      </w:r>
      <w:r w:rsidRPr="001A0B66">
        <w:rPr>
          <w:sz w:val="18"/>
          <w:rtl/>
          <w:lang w:bidi="ar-SA"/>
        </w:rPr>
        <w:t xml:space="preserve"> </w:t>
      </w:r>
      <w:r w:rsidRPr="001A0B66">
        <w:rPr>
          <w:sz w:val="18"/>
          <w:rtl/>
        </w:rPr>
        <w:t>מתייחס</w:t>
      </w:r>
      <w:r w:rsidRPr="001A0B66">
        <w:rPr>
          <w:sz w:val="18"/>
          <w:rtl/>
          <w:lang w:bidi="ar-SA"/>
        </w:rPr>
        <w:t xml:space="preserve"> </w:t>
      </w:r>
      <w:r w:rsidRPr="001A0B66">
        <w:rPr>
          <w:sz w:val="18"/>
          <w:rtl/>
        </w:rPr>
        <w:t>למסקנתו</w:t>
      </w:r>
      <w:r w:rsidRPr="001A0B66">
        <w:rPr>
          <w:sz w:val="18"/>
          <w:rtl/>
          <w:lang w:bidi="ar-SA"/>
        </w:rPr>
        <w:t xml:space="preserve"> </w:t>
      </w:r>
      <w:r w:rsidRPr="001A0B66">
        <w:rPr>
          <w:sz w:val="18"/>
          <w:rtl/>
        </w:rPr>
        <w:t>של</w:t>
      </w:r>
      <w:r w:rsidRPr="001A0B66">
        <w:rPr>
          <w:sz w:val="18"/>
          <w:rtl/>
          <w:lang w:bidi="ar-SA"/>
        </w:rPr>
        <w:t xml:space="preserve"> </w:t>
      </w:r>
      <w:r w:rsidRPr="001A0B66">
        <w:rPr>
          <w:sz w:val="18"/>
          <w:rtl/>
        </w:rPr>
        <w:t>המשתמש</w:t>
      </w:r>
      <w:r w:rsidRPr="001A0B66">
        <w:rPr>
          <w:sz w:val="18"/>
          <w:rtl/>
          <w:lang w:bidi="ar-SA"/>
        </w:rPr>
        <w:t xml:space="preserve"> </w:t>
      </w:r>
      <w:r w:rsidRPr="001A0B66">
        <w:rPr>
          <w:sz w:val="18"/>
          <w:rtl/>
        </w:rPr>
        <w:t>בו</w:t>
      </w:r>
      <w:r w:rsidRPr="001A0B66">
        <w:rPr>
          <w:sz w:val="18"/>
          <w:rtl/>
          <w:lang w:bidi="ar-SA"/>
        </w:rPr>
        <w:t xml:space="preserve">, </w:t>
      </w:r>
      <w:r w:rsidRPr="001A0B66">
        <w:rPr>
          <w:sz w:val="18"/>
          <w:rtl/>
        </w:rPr>
        <w:t>כי</w:t>
      </w:r>
      <w:r w:rsidRPr="001A0B66">
        <w:rPr>
          <w:sz w:val="18"/>
          <w:rtl/>
          <w:lang w:bidi="ar-SA"/>
        </w:rPr>
        <w:t xml:space="preserve"> </w:t>
      </w:r>
      <w:r w:rsidRPr="001A0B66">
        <w:rPr>
          <w:sz w:val="18"/>
          <w:rtl/>
        </w:rPr>
        <w:t>אכן</w:t>
      </w:r>
      <w:r w:rsidRPr="001A0B66">
        <w:rPr>
          <w:sz w:val="18"/>
          <w:rtl/>
          <w:lang w:bidi="ar-SA"/>
        </w:rPr>
        <w:t xml:space="preserve"> </w:t>
      </w:r>
      <w:r w:rsidRPr="001A0B66">
        <w:rPr>
          <w:sz w:val="18"/>
          <w:rtl/>
        </w:rPr>
        <w:t>דברי</w:t>
      </w:r>
      <w:r w:rsidRPr="001A0B66">
        <w:rPr>
          <w:sz w:val="18"/>
          <w:rtl/>
          <w:lang w:bidi="ar-SA"/>
        </w:rPr>
        <w:t xml:space="preserve"> </w:t>
      </w:r>
      <w:r w:rsidRPr="001A0B66">
        <w:rPr>
          <w:sz w:val="18"/>
          <w:rtl/>
        </w:rPr>
        <w:t>ה'מסית'</w:t>
      </w:r>
      <w:r w:rsidRPr="001A0B66">
        <w:rPr>
          <w:sz w:val="18"/>
          <w:rtl/>
          <w:lang w:bidi="ar-SA"/>
        </w:rPr>
        <w:t xml:space="preserve"> </w:t>
      </w:r>
      <w:r w:rsidRPr="001A0B66">
        <w:rPr>
          <w:sz w:val="18"/>
          <w:rtl/>
        </w:rPr>
        <w:t>יש</w:t>
      </w:r>
      <w:r w:rsidRPr="001A0B66">
        <w:rPr>
          <w:sz w:val="18"/>
          <w:rtl/>
          <w:lang w:bidi="ar-SA"/>
        </w:rPr>
        <w:t xml:space="preserve"> </w:t>
      </w:r>
      <w:r w:rsidRPr="001A0B66">
        <w:rPr>
          <w:sz w:val="18"/>
          <w:rtl/>
        </w:rPr>
        <w:t>בהם</w:t>
      </w:r>
      <w:r w:rsidRPr="001A0B66">
        <w:rPr>
          <w:sz w:val="18"/>
          <w:rtl/>
          <w:lang w:bidi="ar-SA"/>
        </w:rPr>
        <w:t xml:space="preserve"> </w:t>
      </w:r>
      <w:r w:rsidRPr="001A0B66">
        <w:rPr>
          <w:sz w:val="18"/>
          <w:rtl/>
        </w:rPr>
        <w:t>משום</w:t>
      </w:r>
      <w:r w:rsidRPr="001A0B66">
        <w:rPr>
          <w:sz w:val="18"/>
          <w:rtl/>
          <w:lang w:bidi="ar-SA"/>
        </w:rPr>
        <w:t xml:space="preserve"> </w:t>
      </w:r>
      <w:r w:rsidRPr="001A0B66">
        <w:rPr>
          <w:sz w:val="18"/>
          <w:rtl/>
        </w:rPr>
        <w:t>'הסתה'</w:t>
      </w:r>
      <w:r w:rsidRPr="001A0B66">
        <w:rPr>
          <w:sz w:val="18"/>
          <w:rtl/>
          <w:lang w:bidi="ar-SA"/>
        </w:rPr>
        <w:t xml:space="preserve">, </w:t>
      </w:r>
      <w:r w:rsidRPr="001A0B66">
        <w:rPr>
          <w:sz w:val="18"/>
          <w:rtl/>
        </w:rPr>
        <w:t>אך</w:t>
      </w:r>
      <w:r w:rsidRPr="001A0B66">
        <w:rPr>
          <w:sz w:val="18"/>
          <w:rtl/>
          <w:lang w:bidi="ar-SA"/>
        </w:rPr>
        <w:t xml:space="preserve"> </w:t>
      </w:r>
      <w:r w:rsidRPr="001A0B66">
        <w:rPr>
          <w:sz w:val="18"/>
          <w:rtl/>
        </w:rPr>
        <w:t>בעניין</w:t>
      </w:r>
      <w:r w:rsidRPr="001A0B66">
        <w:rPr>
          <w:sz w:val="18"/>
          <w:rtl/>
          <w:lang w:bidi="ar-SA"/>
        </w:rPr>
        <w:t xml:space="preserve"> </w:t>
      </w:r>
      <w:r w:rsidRPr="001A0B66">
        <w:rPr>
          <w:sz w:val="18"/>
          <w:rtl/>
        </w:rPr>
        <w:t>זה</w:t>
      </w:r>
      <w:r w:rsidRPr="001A0B66">
        <w:rPr>
          <w:sz w:val="18"/>
          <w:rtl/>
          <w:lang w:bidi="ar-SA"/>
        </w:rPr>
        <w:t xml:space="preserve"> </w:t>
      </w:r>
      <w:r w:rsidRPr="001A0B66">
        <w:rPr>
          <w:sz w:val="18"/>
          <w:rtl/>
        </w:rPr>
        <w:t>יכולות</w:t>
      </w:r>
      <w:r w:rsidRPr="001A0B66">
        <w:rPr>
          <w:sz w:val="18"/>
          <w:rtl/>
          <w:lang w:bidi="ar-SA"/>
        </w:rPr>
        <w:t xml:space="preserve"> </w:t>
      </w:r>
      <w:r w:rsidRPr="001A0B66">
        <w:rPr>
          <w:sz w:val="18"/>
          <w:rtl/>
        </w:rPr>
        <w:t>להיות</w:t>
      </w:r>
      <w:r w:rsidRPr="001A0B66">
        <w:rPr>
          <w:sz w:val="18"/>
          <w:rtl/>
          <w:lang w:bidi="ar-SA"/>
        </w:rPr>
        <w:t xml:space="preserve"> </w:t>
      </w:r>
      <w:r w:rsidRPr="001A0B66">
        <w:rPr>
          <w:sz w:val="18"/>
          <w:rtl/>
        </w:rPr>
        <w:t>השקפות</w:t>
      </w:r>
      <w:r w:rsidRPr="001A0B66">
        <w:rPr>
          <w:sz w:val="18"/>
          <w:rtl/>
          <w:lang w:bidi="ar-SA"/>
        </w:rPr>
        <w:t xml:space="preserve"> </w:t>
      </w:r>
      <w:r w:rsidRPr="001A0B66">
        <w:rPr>
          <w:sz w:val="18"/>
          <w:rtl/>
        </w:rPr>
        <w:t>שונות</w:t>
      </w:r>
      <w:r w:rsidRPr="001A0B66">
        <w:rPr>
          <w:sz w:val="18"/>
          <w:rtl/>
          <w:lang w:bidi="ar-SA"/>
        </w:rPr>
        <w:t xml:space="preserve"> </w:t>
      </w:r>
      <w:r w:rsidRPr="001A0B66">
        <w:rPr>
          <w:sz w:val="18"/>
          <w:rtl/>
        </w:rPr>
        <w:t>יש</w:t>
      </w:r>
      <w:r w:rsidRPr="001A0B66">
        <w:rPr>
          <w:sz w:val="18"/>
          <w:rtl/>
          <w:lang w:bidi="ar-SA"/>
        </w:rPr>
        <w:t xml:space="preserve">, </w:t>
      </w:r>
      <w:r w:rsidRPr="001A0B66">
        <w:rPr>
          <w:sz w:val="18"/>
          <w:rtl/>
        </w:rPr>
        <w:t>למשל</w:t>
      </w:r>
      <w:r w:rsidRPr="001A0B66">
        <w:rPr>
          <w:sz w:val="18"/>
          <w:rtl/>
          <w:lang w:bidi="ar-SA"/>
        </w:rPr>
        <w:t xml:space="preserve">, </w:t>
      </w:r>
      <w:r w:rsidRPr="001A0B66">
        <w:rPr>
          <w:sz w:val="18"/>
          <w:rtl/>
        </w:rPr>
        <w:t>מי</w:t>
      </w:r>
      <w:r w:rsidRPr="001A0B66">
        <w:rPr>
          <w:sz w:val="18"/>
          <w:rtl/>
          <w:lang w:bidi="ar-SA"/>
        </w:rPr>
        <w:t xml:space="preserve"> </w:t>
      </w:r>
      <w:r w:rsidRPr="001A0B66">
        <w:rPr>
          <w:sz w:val="18"/>
          <w:rtl/>
        </w:rPr>
        <w:t>שרואה</w:t>
      </w:r>
      <w:r w:rsidRPr="001A0B66">
        <w:rPr>
          <w:sz w:val="18"/>
          <w:rtl/>
          <w:lang w:bidi="ar-SA"/>
        </w:rPr>
        <w:t xml:space="preserve"> </w:t>
      </w:r>
      <w:r w:rsidRPr="001A0B66">
        <w:rPr>
          <w:sz w:val="18"/>
          <w:rtl/>
        </w:rPr>
        <w:t>בדברי</w:t>
      </w:r>
      <w:r w:rsidRPr="001A0B66">
        <w:rPr>
          <w:sz w:val="18"/>
          <w:rtl/>
          <w:lang w:bidi="ar-SA"/>
        </w:rPr>
        <w:t xml:space="preserve"> </w:t>
      </w:r>
      <w:r w:rsidRPr="001A0B66">
        <w:rPr>
          <w:sz w:val="18"/>
          <w:rtl/>
        </w:rPr>
        <w:t>ההתנגדות</w:t>
      </w:r>
      <w:r w:rsidRPr="001A0B66">
        <w:rPr>
          <w:sz w:val="18"/>
          <w:rtl/>
          <w:lang w:bidi="ar-SA"/>
        </w:rPr>
        <w:t xml:space="preserve"> </w:t>
      </w:r>
      <w:r w:rsidRPr="001A0B66">
        <w:rPr>
          <w:sz w:val="18"/>
          <w:rtl/>
        </w:rPr>
        <w:t>וביקורת</w:t>
      </w:r>
      <w:r w:rsidRPr="001A0B66">
        <w:rPr>
          <w:sz w:val="18"/>
          <w:rtl/>
          <w:lang w:bidi="ar-SA"/>
        </w:rPr>
        <w:t xml:space="preserve"> </w:t>
      </w:r>
      <w:r w:rsidRPr="001A0B66">
        <w:rPr>
          <w:sz w:val="18"/>
          <w:rtl/>
        </w:rPr>
        <w:t>רגילים</w:t>
      </w:r>
      <w:r w:rsidRPr="001A0B66">
        <w:rPr>
          <w:sz w:val="18"/>
          <w:rtl/>
          <w:lang w:bidi="ar-SA"/>
        </w:rPr>
        <w:t xml:space="preserve"> </w:t>
      </w:r>
      <w:r w:rsidRPr="001A0B66">
        <w:rPr>
          <w:sz w:val="18"/>
          <w:rtl/>
        </w:rPr>
        <w:t>ולגיטימיים</w:t>
      </w:r>
      <w:r w:rsidRPr="001A0B66">
        <w:rPr>
          <w:sz w:val="18"/>
          <w:rtl/>
          <w:lang w:bidi="ar-SA"/>
        </w:rPr>
        <w:t xml:space="preserve"> </w:t>
      </w:r>
      <w:r w:rsidRPr="001A0B66">
        <w:rPr>
          <w:sz w:val="18"/>
          <w:rtl/>
        </w:rPr>
        <w:t>משום</w:t>
      </w:r>
      <w:r w:rsidRPr="001A0B66">
        <w:rPr>
          <w:sz w:val="18"/>
          <w:rtl/>
          <w:lang w:bidi="ar-SA"/>
        </w:rPr>
        <w:t xml:space="preserve"> </w:t>
      </w:r>
      <w:r w:rsidRPr="001A0B66">
        <w:rPr>
          <w:sz w:val="18"/>
          <w:rtl/>
        </w:rPr>
        <w:t>'הסתה'</w:t>
      </w:r>
      <w:r w:rsidRPr="001A0B66">
        <w:rPr>
          <w:sz w:val="18"/>
          <w:rtl/>
          <w:lang w:bidi="ar-SA"/>
        </w:rPr>
        <w:t xml:space="preserve"> </w:t>
      </w:r>
      <w:r w:rsidRPr="001A0B66">
        <w:rPr>
          <w:sz w:val="18"/>
          <w:rtl/>
        </w:rPr>
        <w:t>על</w:t>
      </w:r>
      <w:r w:rsidRPr="001A0B66">
        <w:rPr>
          <w:sz w:val="18"/>
          <w:rtl/>
          <w:lang w:bidi="ar-SA"/>
        </w:rPr>
        <w:t>-</w:t>
      </w:r>
      <w:r w:rsidRPr="001A0B66">
        <w:rPr>
          <w:sz w:val="18"/>
          <w:rtl/>
        </w:rPr>
        <w:t>כן</w:t>
      </w:r>
      <w:r w:rsidRPr="001A0B66">
        <w:rPr>
          <w:sz w:val="18"/>
          <w:rtl/>
          <w:lang w:bidi="ar-SA"/>
        </w:rPr>
        <w:t xml:space="preserve"> </w:t>
      </w:r>
      <w:r w:rsidRPr="001A0B66">
        <w:rPr>
          <w:sz w:val="18"/>
          <w:rtl/>
        </w:rPr>
        <w:t>יש</w:t>
      </w:r>
      <w:r w:rsidRPr="001A0B66">
        <w:rPr>
          <w:sz w:val="18"/>
          <w:rtl/>
          <w:lang w:bidi="ar-SA"/>
        </w:rPr>
        <w:t xml:space="preserve"> </w:t>
      </w:r>
      <w:r w:rsidRPr="001A0B66">
        <w:rPr>
          <w:sz w:val="18"/>
          <w:rtl/>
        </w:rPr>
        <w:t>לגלות</w:t>
      </w:r>
      <w:r w:rsidRPr="001A0B66">
        <w:rPr>
          <w:sz w:val="18"/>
          <w:rtl/>
          <w:lang w:bidi="ar-SA"/>
        </w:rPr>
        <w:t xml:space="preserve"> </w:t>
      </w:r>
      <w:r w:rsidRPr="001A0B66">
        <w:rPr>
          <w:sz w:val="18"/>
          <w:rtl/>
        </w:rPr>
        <w:t>לבית</w:t>
      </w:r>
      <w:r w:rsidRPr="001A0B66">
        <w:rPr>
          <w:sz w:val="18"/>
          <w:rtl/>
          <w:lang w:bidi="ar-SA"/>
        </w:rPr>
        <w:t xml:space="preserve"> </w:t>
      </w:r>
      <w:r w:rsidRPr="001A0B66">
        <w:rPr>
          <w:sz w:val="18"/>
          <w:rtl/>
        </w:rPr>
        <w:t>המשפט</w:t>
      </w:r>
      <w:r w:rsidRPr="001A0B66">
        <w:rPr>
          <w:sz w:val="18"/>
          <w:rtl/>
          <w:lang w:bidi="ar-SA"/>
        </w:rPr>
        <w:t xml:space="preserve"> </w:t>
      </w:r>
      <w:r w:rsidRPr="001A0B66">
        <w:rPr>
          <w:sz w:val="18"/>
          <w:rtl/>
        </w:rPr>
        <w:t>ולעותרים</w:t>
      </w:r>
      <w:r w:rsidRPr="001A0B66">
        <w:rPr>
          <w:sz w:val="18"/>
          <w:rtl/>
          <w:lang w:bidi="ar-SA"/>
        </w:rPr>
        <w:t xml:space="preserve">, </w:t>
      </w:r>
      <w:r w:rsidRPr="001A0B66">
        <w:rPr>
          <w:sz w:val="18"/>
          <w:rtl/>
        </w:rPr>
        <w:t>מה</w:t>
      </w:r>
      <w:r w:rsidRPr="001A0B66">
        <w:rPr>
          <w:sz w:val="18"/>
          <w:rtl/>
          <w:lang w:bidi="ar-SA"/>
        </w:rPr>
        <w:t xml:space="preserve"> </w:t>
      </w:r>
      <w:r w:rsidRPr="001A0B66">
        <w:rPr>
          <w:sz w:val="18"/>
          <w:rtl/>
        </w:rPr>
        <w:t>הם</w:t>
      </w:r>
      <w:r w:rsidRPr="001A0B66">
        <w:rPr>
          <w:sz w:val="18"/>
          <w:rtl/>
          <w:lang w:bidi="ar-SA"/>
        </w:rPr>
        <w:t xml:space="preserve"> </w:t>
      </w:r>
      <w:r w:rsidRPr="001A0B66">
        <w:rPr>
          <w:sz w:val="18"/>
          <w:rtl/>
        </w:rPr>
        <w:t>הדברים</w:t>
      </w:r>
      <w:r w:rsidRPr="001A0B66">
        <w:rPr>
          <w:sz w:val="18"/>
          <w:rtl/>
          <w:lang w:bidi="ar-SA"/>
        </w:rPr>
        <w:t xml:space="preserve"> </w:t>
      </w:r>
      <w:r w:rsidRPr="001A0B66">
        <w:rPr>
          <w:sz w:val="18"/>
          <w:rtl/>
        </w:rPr>
        <w:t>המיוחסים</w:t>
      </w:r>
      <w:r w:rsidRPr="001A0B66">
        <w:rPr>
          <w:sz w:val="18"/>
          <w:rtl/>
          <w:lang w:bidi="ar-SA"/>
        </w:rPr>
        <w:t xml:space="preserve"> </w:t>
      </w:r>
      <w:r w:rsidRPr="001A0B66">
        <w:rPr>
          <w:sz w:val="18"/>
          <w:rtl/>
        </w:rPr>
        <w:t>לעותרים</w:t>
      </w:r>
      <w:r w:rsidRPr="001A0B66">
        <w:rPr>
          <w:sz w:val="18"/>
          <w:rtl/>
          <w:lang w:bidi="ar-SA"/>
        </w:rPr>
        <w:t xml:space="preserve"> </w:t>
      </w:r>
      <w:r w:rsidRPr="001A0B66">
        <w:rPr>
          <w:sz w:val="18"/>
          <w:rtl/>
        </w:rPr>
        <w:t>או</w:t>
      </w:r>
      <w:r w:rsidRPr="001A0B66">
        <w:rPr>
          <w:sz w:val="18"/>
          <w:rtl/>
          <w:lang w:bidi="ar-SA"/>
        </w:rPr>
        <w:t xml:space="preserve"> </w:t>
      </w:r>
      <w:r w:rsidRPr="001A0B66">
        <w:rPr>
          <w:sz w:val="18"/>
          <w:rtl/>
        </w:rPr>
        <w:t>שנאמרו</w:t>
      </w:r>
      <w:r w:rsidRPr="001A0B66">
        <w:rPr>
          <w:sz w:val="18"/>
          <w:rtl/>
          <w:lang w:bidi="ar-SA"/>
        </w:rPr>
        <w:t xml:space="preserve"> </w:t>
      </w:r>
      <w:r w:rsidRPr="001A0B66">
        <w:rPr>
          <w:sz w:val="18"/>
          <w:rtl/>
        </w:rPr>
        <w:t>בנוכחותם</w:t>
      </w:r>
      <w:r w:rsidRPr="001A0B66">
        <w:rPr>
          <w:sz w:val="18"/>
          <w:rtl/>
          <w:lang w:bidi="ar-SA"/>
        </w:rPr>
        <w:t xml:space="preserve">, </w:t>
      </w:r>
      <w:r w:rsidRPr="001A0B66">
        <w:rPr>
          <w:sz w:val="18"/>
          <w:rtl/>
        </w:rPr>
        <w:t>אשר</w:t>
      </w:r>
      <w:r w:rsidRPr="001A0B66">
        <w:rPr>
          <w:sz w:val="18"/>
          <w:rtl/>
          <w:lang w:bidi="ar-SA"/>
        </w:rPr>
        <w:t xml:space="preserve">, </w:t>
      </w:r>
      <w:r w:rsidRPr="001A0B66">
        <w:rPr>
          <w:sz w:val="18"/>
          <w:rtl/>
        </w:rPr>
        <w:t>לדעת</w:t>
      </w:r>
      <w:r w:rsidRPr="001A0B66">
        <w:rPr>
          <w:sz w:val="18"/>
          <w:rtl/>
          <w:lang w:bidi="ar-SA"/>
        </w:rPr>
        <w:t xml:space="preserve"> </w:t>
      </w:r>
      <w:r w:rsidRPr="001A0B66">
        <w:rPr>
          <w:sz w:val="18"/>
          <w:rtl/>
        </w:rPr>
        <w:t>המשיב</w:t>
      </w:r>
      <w:r w:rsidRPr="001A0B66">
        <w:rPr>
          <w:sz w:val="18"/>
          <w:rtl/>
          <w:lang w:bidi="ar-SA"/>
        </w:rPr>
        <w:t xml:space="preserve">, </w:t>
      </w:r>
      <w:r w:rsidRPr="001A0B66">
        <w:rPr>
          <w:sz w:val="18"/>
          <w:rtl/>
        </w:rPr>
        <w:t>יש</w:t>
      </w:r>
      <w:r w:rsidRPr="001A0B66">
        <w:rPr>
          <w:sz w:val="18"/>
          <w:rtl/>
          <w:lang w:bidi="ar-SA"/>
        </w:rPr>
        <w:t xml:space="preserve"> </w:t>
      </w:r>
      <w:r w:rsidRPr="001A0B66">
        <w:rPr>
          <w:sz w:val="18"/>
          <w:rtl/>
        </w:rPr>
        <w:t>בהם</w:t>
      </w:r>
      <w:r w:rsidRPr="001A0B66">
        <w:rPr>
          <w:sz w:val="18"/>
          <w:rtl/>
          <w:lang w:bidi="ar-SA"/>
        </w:rPr>
        <w:t xml:space="preserve"> </w:t>
      </w:r>
      <w:r w:rsidRPr="001A0B66">
        <w:rPr>
          <w:sz w:val="18"/>
          <w:rtl/>
        </w:rPr>
        <w:t>משום</w:t>
      </w:r>
      <w:r w:rsidRPr="001A0B66">
        <w:rPr>
          <w:sz w:val="18"/>
          <w:rtl/>
          <w:lang w:bidi="ar-SA"/>
        </w:rPr>
        <w:t xml:space="preserve"> </w:t>
      </w:r>
      <w:r w:rsidRPr="001A0B66">
        <w:rPr>
          <w:sz w:val="18"/>
          <w:rtl/>
        </w:rPr>
        <w:t>הסתה</w:t>
      </w:r>
      <w:r w:rsidRPr="001A0B66">
        <w:rPr>
          <w:sz w:val="18"/>
          <w:rtl/>
          <w:lang w:bidi="ar-SA"/>
        </w:rPr>
        <w:t xml:space="preserve">. </w:t>
      </w:r>
      <w:r w:rsidRPr="001A0B66">
        <w:rPr>
          <w:sz w:val="18"/>
          <w:rtl/>
        </w:rPr>
        <w:t>במיוחד</w:t>
      </w:r>
      <w:r w:rsidRPr="001A0B66">
        <w:rPr>
          <w:sz w:val="18"/>
          <w:rtl/>
          <w:lang w:bidi="ar-SA"/>
        </w:rPr>
        <w:t xml:space="preserve"> </w:t>
      </w:r>
      <w:r w:rsidRPr="001A0B66">
        <w:rPr>
          <w:sz w:val="18"/>
          <w:rtl/>
        </w:rPr>
        <w:t>אין</w:t>
      </w:r>
      <w:r w:rsidRPr="001A0B66">
        <w:rPr>
          <w:sz w:val="18"/>
          <w:rtl/>
          <w:lang w:bidi="ar-SA"/>
        </w:rPr>
        <w:t xml:space="preserve"> </w:t>
      </w:r>
      <w:r w:rsidRPr="001A0B66">
        <w:rPr>
          <w:sz w:val="18"/>
          <w:rtl/>
        </w:rPr>
        <w:t>הצדקה</w:t>
      </w:r>
      <w:r w:rsidRPr="001A0B66">
        <w:rPr>
          <w:sz w:val="18"/>
          <w:rtl/>
          <w:lang w:bidi="ar-SA"/>
        </w:rPr>
        <w:t xml:space="preserve"> </w:t>
      </w:r>
      <w:r w:rsidRPr="001A0B66">
        <w:rPr>
          <w:sz w:val="18"/>
          <w:rtl/>
        </w:rPr>
        <w:t>שלא</w:t>
      </w:r>
      <w:r w:rsidRPr="001A0B66">
        <w:rPr>
          <w:sz w:val="18"/>
          <w:rtl/>
          <w:lang w:bidi="ar-SA"/>
        </w:rPr>
        <w:t xml:space="preserve"> </w:t>
      </w:r>
      <w:r w:rsidRPr="001A0B66">
        <w:rPr>
          <w:sz w:val="18"/>
          <w:rtl/>
        </w:rPr>
        <w:t>לגלות</w:t>
      </w:r>
      <w:r w:rsidRPr="001A0B66">
        <w:rPr>
          <w:sz w:val="18"/>
          <w:rtl/>
          <w:lang w:bidi="ar-SA"/>
        </w:rPr>
        <w:t xml:space="preserve"> </w:t>
      </w:r>
      <w:r w:rsidRPr="001A0B66">
        <w:rPr>
          <w:sz w:val="18"/>
          <w:rtl/>
        </w:rPr>
        <w:t>פרטים</w:t>
      </w:r>
      <w:r w:rsidRPr="001A0B66">
        <w:rPr>
          <w:sz w:val="18"/>
          <w:rtl/>
          <w:lang w:bidi="ar-SA"/>
        </w:rPr>
        <w:t xml:space="preserve"> </w:t>
      </w:r>
      <w:r w:rsidRPr="001A0B66">
        <w:rPr>
          <w:sz w:val="18"/>
          <w:rtl/>
        </w:rPr>
        <w:t>אלה</w:t>
      </w:r>
      <w:r w:rsidRPr="001A0B66">
        <w:rPr>
          <w:sz w:val="18"/>
          <w:rtl/>
          <w:lang w:bidi="ar-SA"/>
        </w:rPr>
        <w:t xml:space="preserve">, </w:t>
      </w:r>
      <w:r w:rsidRPr="001A0B66">
        <w:rPr>
          <w:sz w:val="18"/>
          <w:rtl/>
        </w:rPr>
        <w:t>כאשר</w:t>
      </w:r>
      <w:r w:rsidRPr="001A0B66">
        <w:rPr>
          <w:sz w:val="18"/>
          <w:rtl/>
          <w:lang w:bidi="ar-SA"/>
        </w:rPr>
        <w:t xml:space="preserve"> </w:t>
      </w:r>
      <w:r w:rsidRPr="001A0B66">
        <w:rPr>
          <w:sz w:val="18"/>
          <w:rtl/>
        </w:rPr>
        <w:t>המועד</w:t>
      </w:r>
      <w:r w:rsidRPr="001A0B66">
        <w:rPr>
          <w:sz w:val="18"/>
          <w:rtl/>
          <w:lang w:bidi="ar-SA"/>
        </w:rPr>
        <w:t xml:space="preserve"> </w:t>
      </w:r>
      <w:r w:rsidRPr="001A0B66">
        <w:rPr>
          <w:sz w:val="18"/>
          <w:rtl/>
        </w:rPr>
        <w:t>והאירוע</w:t>
      </w:r>
      <w:r w:rsidRPr="001A0B66">
        <w:rPr>
          <w:sz w:val="18"/>
          <w:rtl/>
          <w:lang w:bidi="ar-SA"/>
        </w:rPr>
        <w:t xml:space="preserve">, </w:t>
      </w:r>
      <w:r w:rsidRPr="001A0B66">
        <w:rPr>
          <w:sz w:val="18"/>
          <w:rtl/>
        </w:rPr>
        <w:t>שבהם</w:t>
      </w:r>
      <w:r w:rsidRPr="001A0B66">
        <w:rPr>
          <w:sz w:val="18"/>
          <w:rtl/>
          <w:lang w:bidi="ar-SA"/>
        </w:rPr>
        <w:t xml:space="preserve"> </w:t>
      </w:r>
      <w:r w:rsidRPr="001A0B66">
        <w:rPr>
          <w:sz w:val="18"/>
          <w:rtl/>
        </w:rPr>
        <w:t>הושמעו</w:t>
      </w:r>
      <w:r w:rsidRPr="001A0B66">
        <w:rPr>
          <w:sz w:val="18"/>
          <w:rtl/>
          <w:lang w:bidi="ar-SA"/>
        </w:rPr>
        <w:t xml:space="preserve"> </w:t>
      </w:r>
      <w:r w:rsidRPr="001A0B66">
        <w:rPr>
          <w:sz w:val="18"/>
          <w:rtl/>
        </w:rPr>
        <w:t>דברי</w:t>
      </w:r>
      <w:r w:rsidRPr="001A0B66">
        <w:rPr>
          <w:sz w:val="18"/>
          <w:rtl/>
          <w:lang w:bidi="ar-SA"/>
        </w:rPr>
        <w:t xml:space="preserve"> </w:t>
      </w:r>
      <w:r w:rsidRPr="001A0B66">
        <w:rPr>
          <w:sz w:val="18"/>
          <w:rtl/>
        </w:rPr>
        <w:t>ההסתה</w:t>
      </w:r>
      <w:r w:rsidRPr="001A0B66">
        <w:rPr>
          <w:sz w:val="18"/>
          <w:rtl/>
          <w:lang w:bidi="ar-SA"/>
        </w:rPr>
        <w:t xml:space="preserve"> </w:t>
      </w:r>
      <w:r w:rsidRPr="001A0B66">
        <w:rPr>
          <w:sz w:val="18"/>
          <w:rtl/>
        </w:rPr>
        <w:t>הנטענים</w:t>
      </w:r>
      <w:r w:rsidRPr="001A0B66">
        <w:rPr>
          <w:sz w:val="18"/>
          <w:rtl/>
          <w:lang w:bidi="ar-SA"/>
        </w:rPr>
        <w:t xml:space="preserve">, </w:t>
      </w:r>
      <w:r w:rsidRPr="001A0B66">
        <w:rPr>
          <w:sz w:val="18"/>
          <w:rtl/>
        </w:rPr>
        <w:t>הינם</w:t>
      </w:r>
      <w:r w:rsidRPr="001A0B66">
        <w:rPr>
          <w:sz w:val="18"/>
          <w:rtl/>
          <w:lang w:bidi="ar-SA"/>
        </w:rPr>
        <w:t xml:space="preserve"> </w:t>
      </w:r>
      <w:r w:rsidRPr="001A0B66">
        <w:rPr>
          <w:sz w:val="18"/>
          <w:rtl/>
        </w:rPr>
        <w:t>גלויים"</w:t>
      </w:r>
      <w:r w:rsidRPr="001A0B66">
        <w:rPr>
          <w:sz w:val="18"/>
          <w:rtl/>
          <w:lang w:bidi="ar-SA"/>
        </w:rPr>
        <w:t>.</w:t>
      </w:r>
      <w:r w:rsidRPr="001A0B66">
        <w:rPr>
          <w:sz w:val="18"/>
          <w:rtl/>
        </w:rPr>
        <w:t xml:space="preserve"> </w:t>
      </w:r>
    </w:p>
    <w:p w14:paraId="5B003A0A" w14:textId="77777777" w:rsidR="0091227C" w:rsidRPr="001A0B66" w:rsidRDefault="0091227C" w:rsidP="00E157D9">
      <w:pPr>
        <w:pStyle w:val="FootnoteText"/>
        <w:tabs>
          <w:tab w:val="left" w:pos="1502"/>
        </w:tabs>
        <w:spacing w:after="60"/>
        <w:ind w:firstLine="0"/>
        <w:rPr>
          <w:rtl/>
        </w:rPr>
      </w:pPr>
      <w:r w:rsidRPr="001A0B66">
        <w:rPr>
          <w:sz w:val="18"/>
          <w:rtl/>
        </w:rPr>
        <w:t xml:space="preserve">וראו את הדיון המעמיק של בית המשפט המחוזי בנצרת בפרשנות שירה של המשוררת </w:t>
      </w:r>
      <w:proofErr w:type="spellStart"/>
      <w:r w:rsidRPr="001A0B66">
        <w:rPr>
          <w:sz w:val="18"/>
          <w:rtl/>
        </w:rPr>
        <w:t>דארין</w:t>
      </w:r>
      <w:proofErr w:type="spellEnd"/>
      <w:r w:rsidRPr="001A0B66">
        <w:rPr>
          <w:sz w:val="18"/>
          <w:rtl/>
        </w:rPr>
        <w:t xml:space="preserve"> </w:t>
      </w:r>
      <w:proofErr w:type="spellStart"/>
      <w:r w:rsidRPr="001A0B66">
        <w:rPr>
          <w:sz w:val="18"/>
          <w:rtl/>
        </w:rPr>
        <w:t>טאטור</w:t>
      </w:r>
      <w:proofErr w:type="spellEnd"/>
      <w:r w:rsidRPr="001A0B66">
        <w:rPr>
          <w:sz w:val="18"/>
          <w:rtl/>
        </w:rPr>
        <w:t>, שיר שעמד במוקד כתב האישום נגדה: ע"פ (מחוזי נצרת) 24933-09-18</w:t>
      </w:r>
      <w:r w:rsidRPr="001A0B66">
        <w:rPr>
          <w:b/>
          <w:bCs/>
          <w:sz w:val="18"/>
          <w:rtl/>
        </w:rPr>
        <w:t xml:space="preserve"> </w:t>
      </w:r>
      <w:proofErr w:type="spellStart"/>
      <w:r w:rsidRPr="001A0B66">
        <w:rPr>
          <w:b/>
          <w:bCs/>
          <w:sz w:val="18"/>
          <w:rtl/>
        </w:rPr>
        <w:t>טאטור</w:t>
      </w:r>
      <w:proofErr w:type="spellEnd"/>
      <w:r w:rsidRPr="001A0B66">
        <w:rPr>
          <w:b/>
          <w:bCs/>
          <w:sz w:val="18"/>
          <w:rtl/>
        </w:rPr>
        <w:t xml:space="preserve"> נ' מדינת ישראל</w:t>
      </w:r>
      <w:r w:rsidRPr="001A0B66">
        <w:rPr>
          <w:sz w:val="18"/>
          <w:rtl/>
        </w:rPr>
        <w:t>, פס' 62–73 (פורסם בנבו, 16.5.2019). בית המשפט עסק שם לא רק בפרשנות השיר אלא גם בשאלה אם השיר ונסיבות פרסומו עולים כדי "אפשרות ממשית"</w:t>
      </w:r>
      <w:r w:rsidRPr="001A0B66">
        <w:rPr>
          <w:sz w:val="18"/>
          <w:szCs w:val="27"/>
          <w:rtl/>
        </w:rPr>
        <w:t xml:space="preserve"> </w:t>
      </w:r>
      <w:r w:rsidRPr="001A0B66">
        <w:rPr>
          <w:sz w:val="18"/>
          <w:rtl/>
        </w:rPr>
        <w:t xml:space="preserve">לכך שפרסום זה עלול לגרום למעשי אלימות. בעקבות הדיון הפך בית המשפט המחוזי את החלטת בית משפט השלום וזיכה את </w:t>
      </w:r>
      <w:proofErr w:type="spellStart"/>
      <w:r w:rsidRPr="001A0B66">
        <w:rPr>
          <w:sz w:val="18"/>
          <w:rtl/>
        </w:rPr>
        <w:t>טאטור</w:t>
      </w:r>
      <w:proofErr w:type="spellEnd"/>
      <w:r w:rsidRPr="001A0B66">
        <w:rPr>
          <w:sz w:val="18"/>
          <w:rtl/>
        </w:rPr>
        <w:t xml:space="preserve"> מעבירות של הסתה לאלימות ותמיכה בארגון טרור בכל הקשור לפרסומו של השיר.</w:t>
      </w:r>
    </w:p>
    <w:p w14:paraId="32BF67E0" w14:textId="77777777" w:rsidR="0019600D" w:rsidRDefault="0091227C" w:rsidP="00E157D9">
      <w:pPr>
        <w:pStyle w:val="FootnoteText"/>
        <w:tabs>
          <w:tab w:val="left" w:pos="1502"/>
        </w:tabs>
        <w:spacing w:after="60"/>
        <w:ind w:firstLine="0"/>
      </w:pPr>
      <w:r w:rsidRPr="001A0B66">
        <w:rPr>
          <w:rtl/>
        </w:rPr>
        <w:t xml:space="preserve">דיון פרשני מורכב ביחס להתבטאויות הנחשדות כהסתה מופיע גם בפסיקה המתייחסת לנציגים פוליטיים. ראו את עמדת המיעוט של השופט ג'ובראן ביחס להתבטאות של חברת הכנסת חנין </w:t>
      </w:r>
      <w:proofErr w:type="spellStart"/>
      <w:r w:rsidRPr="001A0B66">
        <w:rPr>
          <w:rtl/>
        </w:rPr>
        <w:t>זועבי</w:t>
      </w:r>
      <w:proofErr w:type="spellEnd"/>
      <w:r w:rsidRPr="001A0B66">
        <w:rPr>
          <w:rtl/>
        </w:rPr>
        <w:t xml:space="preserve">, וקונקרטית התיבה "הטלת מצור": בג"ץ 6706/14 </w:t>
      </w:r>
      <w:proofErr w:type="spellStart"/>
      <w:r w:rsidRPr="001A0B66">
        <w:rPr>
          <w:b/>
          <w:bCs/>
          <w:rtl/>
        </w:rPr>
        <w:t>זועבי</w:t>
      </w:r>
      <w:proofErr w:type="spellEnd"/>
      <w:r w:rsidRPr="001A0B66">
        <w:rPr>
          <w:b/>
          <w:bCs/>
          <w:rtl/>
        </w:rPr>
        <w:t xml:space="preserve"> נ' ועדת האתיקה של הכנסת</w:t>
      </w:r>
      <w:r w:rsidRPr="001A0B66">
        <w:rPr>
          <w:rtl/>
        </w:rPr>
        <w:t xml:space="preserve"> (2015); וכן פסק דינו של השופט עמית בערעור על פסילתה על ידי ועדת הבחירות המרכזית מלהשתתף בבחירות לכנסת – א"ב 1095/15 </w:t>
      </w:r>
      <w:r w:rsidRPr="001A0B66">
        <w:rPr>
          <w:b/>
          <w:bCs/>
          <w:rtl/>
        </w:rPr>
        <w:t xml:space="preserve">ועדת הבחירות המרכזית נ' </w:t>
      </w:r>
      <w:proofErr w:type="spellStart"/>
      <w:r w:rsidRPr="001A0B66">
        <w:rPr>
          <w:b/>
          <w:bCs/>
          <w:rtl/>
        </w:rPr>
        <w:t>זועבי</w:t>
      </w:r>
      <w:proofErr w:type="spellEnd"/>
      <w:r w:rsidRPr="001A0B66">
        <w:rPr>
          <w:rtl/>
        </w:rPr>
        <w:t xml:space="preserve"> (2015) ביחס למילה "התנגדות".</w:t>
      </w:r>
    </w:p>
  </w:footnote>
  <w:footnote w:id="88">
    <w:p w14:paraId="7400D8D5" w14:textId="77777777" w:rsidR="0091227C" w:rsidRPr="001A0B66" w:rsidRDefault="0091227C" w:rsidP="00E157D9">
      <w:pPr>
        <w:pStyle w:val="FootnoteText"/>
        <w:spacing w:after="60"/>
        <w:rPr>
          <w:rtl/>
        </w:rPr>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למשל את דבריו של השופט </w:t>
      </w:r>
      <w:proofErr w:type="spellStart"/>
      <w:r w:rsidRPr="001A0B66">
        <w:rPr>
          <w:sz w:val="18"/>
          <w:rtl/>
        </w:rPr>
        <w:t>זילברטל</w:t>
      </w:r>
      <w:proofErr w:type="spellEnd"/>
      <w:r w:rsidRPr="001A0B66">
        <w:rPr>
          <w:sz w:val="18"/>
          <w:rtl/>
        </w:rPr>
        <w:t xml:space="preserve"> בפסקה 31 לפסק דינו בע"פ </w:t>
      </w:r>
      <w:r w:rsidRPr="001A0B66">
        <w:rPr>
          <w:rtl/>
        </w:rPr>
        <w:t xml:space="preserve">481/12 </w:t>
      </w:r>
      <w:r w:rsidRPr="001A0B66">
        <w:rPr>
          <w:b/>
          <w:bCs/>
          <w:rtl/>
        </w:rPr>
        <w:t>פלוני נ' מדינת ישראל</w:t>
      </w:r>
      <w:r w:rsidRPr="001A0B66">
        <w:rPr>
          <w:rtl/>
        </w:rPr>
        <w:t xml:space="preserve"> (2014):</w:t>
      </w:r>
    </w:p>
    <w:p w14:paraId="5F8B6920" w14:textId="77777777" w:rsidR="0019600D" w:rsidRDefault="0091227C" w:rsidP="00E157D9">
      <w:pPr>
        <w:pStyle w:val="FootnoteText"/>
        <w:spacing w:after="60"/>
        <w:ind w:left="1440" w:firstLine="0"/>
      </w:pPr>
      <w:r w:rsidRPr="001A0B66">
        <w:rPr>
          <w:rtl/>
        </w:rPr>
        <w:t>"חלקן של החקירות נוהלו בעברית על אף ששפת אימם של כלל החשודים והקטינים המעורבים בפרשה היא השפה הערבית. מבלי להידרש לפגיעה האפשרית של מצב זה בזכויות החשודים הנחקרים, הרי שסיטואציה בה נחקר אינו מבין היטב את השאלות שנשאל ותשובותיו הן בהתאם לכך, פוגעת באופן ממשי ביכולתה של המשטרה להסיק מסקנות ולעבד מידע מחקירה זו; במצב בו נחקר אינו יכול למסור את גרסתו בצורה בהירה ויכולת ההבנה של הצדדים (החוקר והנחקר) היא חלקית בלבד, הגרסאות המצויות בידי המשטרה הן עילגות וחלקיות...".</w:t>
      </w:r>
    </w:p>
  </w:footnote>
  <w:footnote w:id="89">
    <w:p w14:paraId="024CD34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פורסיז</w:t>
      </w:r>
      <w:proofErr w:type="spellEnd"/>
      <w:r w:rsidRPr="001A0B66">
        <w:rPr>
          <w:sz w:val="18"/>
          <w:rtl/>
        </w:rPr>
        <w:t xml:space="preserve"> </w:t>
      </w:r>
      <w:proofErr w:type="spellStart"/>
      <w:r w:rsidRPr="001A0B66">
        <w:rPr>
          <w:sz w:val="18"/>
          <w:rtl/>
        </w:rPr>
        <w:t>וולדמן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801B35">
        <w:rPr>
          <w:sz w:val="18"/>
          <w:rtl/>
        </w:rPr>
        <w:t>71</w:t>
      </w:r>
      <w:r w:rsidRPr="001A0B66">
        <w:rPr>
          <w:sz w:val="18"/>
          <w:rtl/>
        </w:rPr>
        <w:t>, בעמ' 8–9.</w:t>
      </w:r>
    </w:p>
    <w:bookmarkStart w:id="80" w:name="_Hlk67583842"/>
    <w:bookmarkEnd w:id="80"/>
  </w:footnote>
  <w:footnote w:id="90">
    <w:p w14:paraId="585339A4" w14:textId="77777777" w:rsidR="0019600D" w:rsidRDefault="008B2F2D" w:rsidP="008B2F2D">
      <w:pPr>
        <w:pStyle w:val="FootnoteText"/>
        <w:spacing w:after="60"/>
      </w:pPr>
      <w:bookmarkStart w:id="82" w:name="_Hlk67583842"/>
      <w:bookmarkEnd w:id="82"/>
      <w:r w:rsidRPr="001A0B66">
        <w:rPr>
          <w:rStyle w:val="FootnoteReference"/>
          <w:rFonts w:cs="David"/>
          <w:sz w:val="18"/>
          <w:rtl/>
        </w:rPr>
        <w:footnoteRef/>
      </w:r>
      <w:r w:rsidRPr="001A0B66">
        <w:rPr>
          <w:rStyle w:val="FootnoteReference"/>
          <w:rFonts w:cs="David"/>
          <w:sz w:val="18"/>
          <w:rtl/>
        </w:rPr>
        <w:tab/>
      </w:r>
      <w:r w:rsidRPr="001A0B66">
        <w:rPr>
          <w:sz w:val="18"/>
        </w:rPr>
        <w:t xml:space="preserve">Will Fitzgibbon, </w:t>
      </w:r>
      <w:r w:rsidRPr="001A0B66">
        <w:rPr>
          <w:i/>
          <w:iCs/>
          <w:sz w:val="18"/>
        </w:rPr>
        <w:t>Special advocates: the faces of secret justice</w:t>
      </w:r>
      <w:r w:rsidRPr="001A0B66">
        <w:rPr>
          <w:sz w:val="18"/>
        </w:rPr>
        <w:t xml:space="preserve">, The Bureau of Investigative Journalism (Nov 1, 2012) </w:t>
      </w:r>
      <w:hyperlink r:id="rId9" w:history="1">
        <w:r w:rsidRPr="001A0B66">
          <w:rPr>
            <w:rStyle w:val="Hyperlink"/>
            <w:rFonts w:cs="David"/>
            <w:sz w:val="18"/>
          </w:rPr>
          <w:t>https://www.thebureauinvestigates.com/stories/2012-11-01/special-advocates-the-faces-of-secret-justice</w:t>
        </w:r>
      </w:hyperlink>
      <w:r w:rsidRPr="001A0B66">
        <w:rPr>
          <w:sz w:val="18"/>
        </w:rPr>
        <w:t>.</w:t>
      </w:r>
      <w:r>
        <w:rPr>
          <w:sz w:val="18"/>
          <w:rtl/>
        </w:rPr>
        <w:t xml:space="preserve"> </w:t>
      </w:r>
      <w:r>
        <w:rPr>
          <w:sz w:val="18"/>
          <w:rtl/>
        </w:rPr>
        <w:t>(</w:t>
      </w:r>
      <w:proofErr w:type="spellStart"/>
      <w:r>
        <w:rPr>
          <w:sz w:val="18"/>
          <w:rtl/>
        </w:rPr>
        <w:t>להלן:פיטזגיבון</w:t>
      </w:r>
      <w:proofErr w:type="spellEnd"/>
      <w:r>
        <w:rPr>
          <w:sz w:val="18"/>
          <w:rtl/>
        </w:rPr>
        <w:t>)</w:t>
      </w:r>
      <w:r w:rsidRPr="001A0B66">
        <w:rPr>
          <w:sz w:val="18"/>
          <w:rtl/>
        </w:rPr>
        <w:t>.</w:t>
      </w:r>
    </w:p>
  </w:footnote>
  <w:footnote w:id="91">
    <w:p w14:paraId="0BD72E69" w14:textId="77777777" w:rsidR="0019600D" w:rsidRDefault="00BE63A9" w:rsidP="00BE63A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Pr>
          <w:sz w:val="18"/>
          <w:rtl/>
        </w:rPr>
        <w:t>פיטזגיבון</w:t>
      </w:r>
      <w:proofErr w:type="spellEnd"/>
      <w:r>
        <w:rPr>
          <w:sz w:val="18"/>
          <w:rtl/>
        </w:rPr>
        <w:t xml:space="preserve">, שם; </w:t>
      </w:r>
      <w:r w:rsidR="008B2F2D" w:rsidRPr="001A0B66">
        <w:rPr>
          <w:sz w:val="18"/>
          <w:rtl/>
        </w:rPr>
        <w:t xml:space="preserve">סקירת הלשכה המשפטית בכנסת, לעיל </w:t>
      </w:r>
      <w:proofErr w:type="spellStart"/>
      <w:r w:rsidR="008B2F2D" w:rsidRPr="001A0B66">
        <w:rPr>
          <w:sz w:val="18"/>
          <w:rtl/>
        </w:rPr>
        <w:t>ה"ש</w:t>
      </w:r>
      <w:proofErr w:type="spellEnd"/>
      <w:r w:rsidR="008B2F2D" w:rsidRPr="001A0B66">
        <w:rPr>
          <w:sz w:val="18"/>
          <w:rtl/>
        </w:rPr>
        <w:t xml:space="preserve"> </w:t>
      </w:r>
      <w:r w:rsidR="00801B35">
        <w:rPr>
          <w:sz w:val="18"/>
          <w:rtl/>
        </w:rPr>
        <w:t>61</w:t>
      </w:r>
      <w:r w:rsidR="008B2F2D" w:rsidRPr="001A0B66">
        <w:rPr>
          <w:sz w:val="18"/>
          <w:rtl/>
        </w:rPr>
        <w:t xml:space="preserve">, בעמ' 6; </w:t>
      </w:r>
      <w:proofErr w:type="spellStart"/>
      <w:r w:rsidRPr="001A0B66">
        <w:rPr>
          <w:sz w:val="18"/>
          <w:rtl/>
        </w:rPr>
        <w:t>פורסיז</w:t>
      </w:r>
      <w:proofErr w:type="spellEnd"/>
      <w:r w:rsidRPr="001A0B66">
        <w:rPr>
          <w:sz w:val="18"/>
          <w:rtl/>
        </w:rPr>
        <w:t xml:space="preserve"> </w:t>
      </w:r>
      <w:proofErr w:type="spellStart"/>
      <w:r w:rsidRPr="001A0B66">
        <w:rPr>
          <w:sz w:val="18"/>
          <w:rtl/>
        </w:rPr>
        <w:t>וולדמן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801B35">
        <w:rPr>
          <w:sz w:val="18"/>
          <w:rtl/>
        </w:rPr>
        <w:t>71</w:t>
      </w:r>
      <w:r w:rsidRPr="001A0B66">
        <w:rPr>
          <w:sz w:val="18"/>
          <w:rtl/>
        </w:rPr>
        <w:t xml:space="preserve">, בעמ' </w:t>
      </w:r>
      <w:r>
        <w:rPr>
          <w:sz w:val="18"/>
          <w:rtl/>
        </w:rPr>
        <w:t>21</w:t>
      </w:r>
      <w:r w:rsidRPr="001A0B66">
        <w:rPr>
          <w:sz w:val="18"/>
          <w:rtl/>
        </w:rPr>
        <w:t>.</w:t>
      </w:r>
    </w:p>
  </w:footnote>
  <w:footnote w:id="92">
    <w:p w14:paraId="591C36DA" w14:textId="77777777" w:rsidR="0019600D" w:rsidRDefault="00BE63A9" w:rsidP="00BE63A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פורסיז</w:t>
      </w:r>
      <w:proofErr w:type="spellEnd"/>
      <w:r w:rsidRPr="001A0B66">
        <w:rPr>
          <w:sz w:val="18"/>
          <w:rtl/>
        </w:rPr>
        <w:t xml:space="preserve"> </w:t>
      </w:r>
      <w:proofErr w:type="spellStart"/>
      <w:r w:rsidRPr="001A0B66">
        <w:rPr>
          <w:sz w:val="18"/>
          <w:rtl/>
        </w:rPr>
        <w:t>וולדמן</w:t>
      </w:r>
      <w:proofErr w:type="spellEnd"/>
      <w:r w:rsidRPr="001A0B66">
        <w:rPr>
          <w:sz w:val="18"/>
          <w:rtl/>
        </w:rPr>
        <w:t xml:space="preserve">, </w:t>
      </w:r>
      <w:r w:rsidR="008B2F2D">
        <w:rPr>
          <w:sz w:val="18"/>
          <w:rtl/>
        </w:rPr>
        <w:t>שם</w:t>
      </w:r>
      <w:r w:rsidRPr="001A0B66">
        <w:rPr>
          <w:sz w:val="18"/>
          <w:rtl/>
        </w:rPr>
        <w:t xml:space="preserve">, בעמ' </w:t>
      </w:r>
      <w:r>
        <w:rPr>
          <w:sz w:val="18"/>
          <w:rtl/>
        </w:rPr>
        <w:t>21</w:t>
      </w:r>
      <w:r w:rsidRPr="001A0B66">
        <w:rPr>
          <w:sz w:val="18"/>
          <w:rtl/>
        </w:rPr>
        <w:t>.</w:t>
      </w:r>
    </w:p>
  </w:footnote>
  <w:footnote w:id="93">
    <w:p w14:paraId="2A7138B1"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שם, בעמ' 25–28.</w:t>
      </w:r>
    </w:p>
  </w:footnote>
  <w:footnote w:id="94">
    <w:p w14:paraId="54989C91" w14:textId="77777777" w:rsidR="0019600D" w:rsidRDefault="00D60828"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שם, בעמ'</w:t>
      </w:r>
      <w:r>
        <w:rPr>
          <w:sz w:val="18"/>
          <w:rtl/>
        </w:rPr>
        <w:t xml:space="preserve"> 26.</w:t>
      </w:r>
    </w:p>
  </w:footnote>
  <w:footnote w:id="95">
    <w:p w14:paraId="7DBB3E5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שם. </w:t>
      </w:r>
    </w:p>
  </w:footnote>
  <w:footnote w:id="96">
    <w:p w14:paraId="13537D61"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בסעיף 5(ד) להצעה מותנית כשירותו של אדם להתמנות לתפקיד עורך דין מיוחד בכך ש"קיבל הכשרה מתאימה, כפי שיקבע הסניגור הציבורי הארצי". בסעיף 7(ה) נכתב כי "עורך הדין המיוחד הוא עובד לשכת הסניגוריה הציבורית"; על פי סעיף 7(ד), "הסניגור הארצי יקבע הנחיות לביצוע תפקידו של עורך הדין המיוחד"; בסעיף 7(א) נכתב כי "הסניגור הציבורי הארצי ימליץ לוועדה על רשימת מועמדים</w:t>
      </w:r>
      <w:r w:rsidRPr="001A0B66">
        <w:rPr>
          <w:sz w:val="18"/>
        </w:rPr>
        <w:t xml:space="preserve"> </w:t>
      </w:r>
      <w:r w:rsidRPr="001A0B66">
        <w:rPr>
          <w:sz w:val="18"/>
          <w:rtl/>
        </w:rPr>
        <w:t xml:space="preserve">לתפקיד עורך דין מיוחד, העומדים בתנאי הכשירות"; והסנגור הציבורי הארצי הוא עצמו חבר באותה ועדה מאשרת שאליה הוא מעביר את רשימת </w:t>
      </w:r>
      <w:proofErr w:type="spellStart"/>
      <w:r w:rsidRPr="001A0B66">
        <w:rPr>
          <w:sz w:val="18"/>
          <w:rtl/>
        </w:rPr>
        <w:t>מומלציו</w:t>
      </w:r>
      <w:proofErr w:type="spellEnd"/>
      <w:r w:rsidRPr="001A0B66">
        <w:rPr>
          <w:sz w:val="18"/>
          <w:rtl/>
        </w:rPr>
        <w:t xml:space="preserve"> (סעיף 6(ב)). חברי הוועדה האחרים הם אלו: נציג שימנה שר המשפטים, והוא יהיה יושב ראש הוועדה; נציג שימנה נשיא בית המשפט העליון; ונציג רשויות הביטחון שימונה בידי ראש הממשלה ושר הביטחון. </w:t>
      </w:r>
    </w:p>
  </w:footnote>
  <w:footnote w:id="97">
    <w:p w14:paraId="04FDA9C4"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t>Kenneth Mann and David Weiner, Creating a Public Defender System in the Shadow of the Israeli-Palestinian Conflict, 48 N.Y.L. Sch. L. Rev. 91 (2003-2004).</w:t>
      </w:r>
      <w:r w:rsidR="008C3BB1">
        <w:rPr>
          <w:rtl/>
        </w:rPr>
        <w:t xml:space="preserve"> </w:t>
      </w:r>
      <w:r w:rsidRPr="001A0B66">
        <w:rPr>
          <w:sz w:val="18"/>
          <w:rtl/>
        </w:rPr>
        <w:t>(להלן:</w:t>
      </w:r>
      <w:r w:rsidRPr="001A0B66">
        <w:rPr>
          <w:sz w:val="18"/>
        </w:rPr>
        <w:t xml:space="preserve"> </w:t>
      </w:r>
      <w:r w:rsidRPr="001A0B66">
        <w:rPr>
          <w:sz w:val="18"/>
          <w:rtl/>
        </w:rPr>
        <w:t>מן ווינר).</w:t>
      </w:r>
    </w:p>
  </w:footnote>
  <w:footnote w:id="98">
    <w:p w14:paraId="1266682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גם לעמדתם של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Ref53027519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7</w:t>
      </w:r>
      <w:r w:rsidRPr="001A0B66">
        <w:rPr>
          <w:sz w:val="18"/>
          <w:rtl/>
        </w:rPr>
        <w:fldChar w:fldCharType="end"/>
      </w:r>
      <w:r w:rsidRPr="001A0B66">
        <w:rPr>
          <w:sz w:val="18"/>
          <w:rtl/>
        </w:rPr>
        <w:t xml:space="preserve">, בעמ' 215, אם ייושם מנגנון של פרקליט מיוחד בישראל ובשטחים – אזי ראוי כי התפקיד יוטל על סנגור ציבורי. עם זאת, לסנגוריה הציבורית אין סמכות לפעול בשטחים הכבושים. נתייחס לסוגיה זו להלן. </w:t>
      </w:r>
    </w:p>
  </w:footnote>
  <w:footnote w:id="99">
    <w:p w14:paraId="7DB71AA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סעיף 18(19) ו-18(א1) לחוק הסניגוריה הציבורית, </w:t>
      </w:r>
      <w:proofErr w:type="spellStart"/>
      <w:r w:rsidRPr="001A0B66">
        <w:rPr>
          <w:sz w:val="18"/>
          <w:rtl/>
        </w:rPr>
        <w:t>התשנ"ו</w:t>
      </w:r>
      <w:proofErr w:type="spellEnd"/>
      <w:r w:rsidRPr="001A0B66">
        <w:rPr>
          <w:sz w:val="18"/>
          <w:rtl/>
        </w:rPr>
        <w:t>–1995.</w:t>
      </w:r>
    </w:p>
  </w:footnote>
  <w:footnote w:id="100">
    <w:p w14:paraId="74865B1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מן ווינר, לעיל </w:t>
      </w:r>
      <w:proofErr w:type="spellStart"/>
      <w:r w:rsidRPr="001A0B66">
        <w:rPr>
          <w:sz w:val="18"/>
          <w:rtl/>
        </w:rPr>
        <w:t>ה"ש</w:t>
      </w:r>
      <w:proofErr w:type="spellEnd"/>
      <w:r w:rsidRPr="001A0B66">
        <w:rPr>
          <w:sz w:val="18"/>
          <w:rtl/>
        </w:rPr>
        <w:t xml:space="preserve"> </w:t>
      </w:r>
      <w:r w:rsidR="00801B35">
        <w:rPr>
          <w:sz w:val="18"/>
          <w:rtl/>
        </w:rPr>
        <w:t>96</w:t>
      </w:r>
      <w:r w:rsidRPr="001A0B66">
        <w:rPr>
          <w:sz w:val="18"/>
          <w:rtl/>
        </w:rPr>
        <w:t xml:space="preserve">; כן ראו איתי הרמלין "ייצוגו של לוחם </w:t>
      </w:r>
      <w:proofErr w:type="spellStart"/>
      <w:r w:rsidRPr="001A0B66">
        <w:rPr>
          <w:sz w:val="18"/>
          <w:rtl/>
        </w:rPr>
        <w:t>חזבאללה</w:t>
      </w:r>
      <w:proofErr w:type="spellEnd"/>
      <w:r w:rsidRPr="001A0B66">
        <w:rPr>
          <w:sz w:val="18"/>
          <w:rtl/>
        </w:rPr>
        <w:t xml:space="preserve"> מוחמד </w:t>
      </w:r>
      <w:proofErr w:type="spellStart"/>
      <w:r w:rsidRPr="001A0B66">
        <w:rPr>
          <w:sz w:val="18"/>
          <w:rtl/>
        </w:rPr>
        <w:t>סרור</w:t>
      </w:r>
      <w:proofErr w:type="spellEnd"/>
      <w:r w:rsidRPr="001A0B66">
        <w:rPr>
          <w:sz w:val="18"/>
          <w:rtl/>
        </w:rPr>
        <w:t xml:space="preserve">" </w:t>
      </w:r>
      <w:r w:rsidRPr="001A0B66">
        <w:rPr>
          <w:b/>
          <w:bCs/>
          <w:sz w:val="18"/>
          <w:rtl/>
        </w:rPr>
        <w:t>האם המשפט חשוב?</w:t>
      </w:r>
      <w:r w:rsidRPr="001A0B66">
        <w:rPr>
          <w:sz w:val="18"/>
          <w:rtl/>
        </w:rPr>
        <w:t xml:space="preserve"> 543 (דפנה הקר ונטע זיו עורכות, 2011); סמדר בן-נתן "כי הוא פטריוט" </w:t>
      </w:r>
      <w:r w:rsidRPr="001A0B66">
        <w:rPr>
          <w:b/>
          <w:bCs/>
          <w:sz w:val="18"/>
          <w:rtl/>
        </w:rPr>
        <w:t>האם המשפט חשוב?</w:t>
      </w:r>
      <w:r w:rsidRPr="001A0B66">
        <w:rPr>
          <w:sz w:val="18"/>
          <w:rtl/>
        </w:rPr>
        <w:t xml:space="preserve"> 553 (דפנה הקר ונטע זיו עורכות, 2011). </w:t>
      </w:r>
    </w:p>
  </w:footnote>
  <w:footnote w:id="101">
    <w:p w14:paraId="6162A82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מן ווינר, שם, בעמ' 105, מפרטים כי הסנגוריה הציבורית שמה דגש על העסקתם של עורכי דין ערבים, בין היתר על מנת לאפשר מינוי עורכי דין שיוכלו לתקשר וליצור יחסי אמון עם מגוון גדול של לקוחות. נכון לזמן כתיבת המאמר 15% מעורכי הדין הפנימיים של הסנגוריה הציבורית היו ערבים ו-30% מעורכי הדין החיצוניים, בעוד ששיעורם </w:t>
      </w:r>
      <w:proofErr w:type="spellStart"/>
      <w:r w:rsidRPr="001A0B66">
        <w:rPr>
          <w:sz w:val="18"/>
          <w:rtl/>
        </w:rPr>
        <w:t>באוכלוסיה</w:t>
      </w:r>
      <w:proofErr w:type="spellEnd"/>
      <w:r w:rsidRPr="001A0B66">
        <w:rPr>
          <w:sz w:val="18"/>
          <w:rtl/>
        </w:rPr>
        <w:t xml:space="preserve"> הכללית היה 18% ובשירות הציבורי ככלל הם סבלו מחוסר ייצוג. על עבודת הסנגוריה הציבורית באמצעות עורכי דין חיצוניים ראו למשל: הסניגור הציבורי הארצי </w:t>
      </w:r>
      <w:r w:rsidRPr="001A0B66">
        <w:rPr>
          <w:b/>
          <w:bCs/>
          <w:sz w:val="18"/>
          <w:rtl/>
        </w:rPr>
        <w:t>הסניגוריה הציבורית:</w:t>
      </w:r>
      <w:r w:rsidRPr="001A0B66">
        <w:rPr>
          <w:sz w:val="18"/>
          <w:rtl/>
        </w:rPr>
        <w:t xml:space="preserve"> </w:t>
      </w:r>
      <w:r w:rsidRPr="001A0B66">
        <w:rPr>
          <w:b/>
          <w:bCs/>
          <w:sz w:val="18"/>
          <w:rtl/>
        </w:rPr>
        <w:t>דו"ח פעילות 2018</w:t>
      </w:r>
      <w:r w:rsidRPr="001A0B66">
        <w:rPr>
          <w:sz w:val="18"/>
          <w:rtl/>
        </w:rPr>
        <w:t xml:space="preserve"> 124–131 (2019) </w:t>
      </w:r>
      <w:hyperlink r:id="rId10" w:history="1">
        <w:r w:rsidRPr="001A0B66">
          <w:rPr>
            <w:rStyle w:val="Hyperlink"/>
            <w:rFonts w:cs="David"/>
            <w:sz w:val="18"/>
          </w:rPr>
          <w:t>https://www.gov.il/BlobFolder/reports/annual_2018/he/</w:t>
        </w:r>
        <w:r w:rsidRPr="001A0B66">
          <w:rPr>
            <w:rStyle w:val="Hyperlink"/>
            <w:rFonts w:cs="David"/>
            <w:sz w:val="18"/>
          </w:rPr>
          <w:br/>
          <w:t>annual%20report%202018.pdf</w:t>
        </w:r>
      </w:hyperlink>
      <w:r w:rsidRPr="001A0B66">
        <w:rPr>
          <w:sz w:val="18"/>
          <w:rtl/>
        </w:rPr>
        <w:t>. מידע על עבודה זו בשנים אחרות מצוי בדו"חות השנתיים לשנים אלו באתר משרד המשפטים. לדוגמה ספציפית של ייצוג מטעם הסנגוריה הציבורית בתיקים ביטחוניים ראו הרמלין, שם; בן-נתן, שם.</w:t>
      </w:r>
    </w:p>
  </w:footnote>
  <w:footnote w:id="102">
    <w:p w14:paraId="20DAA03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F4458E">
        <w:rPr>
          <w:sz w:val="18"/>
          <w:rtl/>
        </w:rPr>
        <w:t xml:space="preserve">ראו הדיון לעיל המלווה את </w:t>
      </w:r>
      <w:proofErr w:type="spellStart"/>
      <w:r w:rsidRPr="00F4458E">
        <w:rPr>
          <w:sz w:val="18"/>
          <w:rtl/>
        </w:rPr>
        <w:t>ה"ש</w:t>
      </w:r>
      <w:proofErr w:type="spellEnd"/>
      <w:r w:rsidR="00121A51" w:rsidRPr="00F4458E">
        <w:rPr>
          <w:sz w:val="18"/>
          <w:rtl/>
        </w:rPr>
        <w:t xml:space="preserve"> 52 ו 53</w:t>
      </w:r>
      <w:r w:rsidRPr="00F4458E">
        <w:rPr>
          <w:sz w:val="18"/>
          <w:rtl/>
        </w:rPr>
        <w:t>.</w:t>
      </w:r>
      <w:r w:rsidRPr="001A0B66">
        <w:rPr>
          <w:sz w:val="18"/>
          <w:rtl/>
        </w:rPr>
        <w:t xml:space="preserve"> </w:t>
      </w:r>
    </w:p>
  </w:footnote>
  <w:footnote w:id="103">
    <w:p w14:paraId="7E40231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על פי ס' 14 לחוק סדר הדין הפלילי [נוסח משולב], </w:t>
      </w:r>
      <w:proofErr w:type="spellStart"/>
      <w:r w:rsidRPr="001A0B66">
        <w:rPr>
          <w:sz w:val="18"/>
          <w:rtl/>
        </w:rPr>
        <w:t>התשמ"ב</w:t>
      </w:r>
      <w:proofErr w:type="spellEnd"/>
      <w:r w:rsidRPr="001A0B66">
        <w:rPr>
          <w:sz w:val="18"/>
          <w:rtl/>
        </w:rPr>
        <w:t xml:space="preserve">–1982, בתיקים כאלה יוכל להתמנות רק סנגור שקיבל אישור של ועדה מיוחדת ("אישור בלתי מסויג") לפי סעיף 318 לחוק השיפוט הצבאי, </w:t>
      </w:r>
      <w:proofErr w:type="spellStart"/>
      <w:r w:rsidRPr="001A0B66">
        <w:rPr>
          <w:sz w:val="18"/>
          <w:rtl/>
        </w:rPr>
        <w:t>התשט"ו</w:t>
      </w:r>
      <w:proofErr w:type="spellEnd"/>
      <w:r w:rsidRPr="001A0B66">
        <w:rPr>
          <w:sz w:val="18"/>
          <w:rtl/>
        </w:rPr>
        <w:t xml:space="preserve">–1955. </w:t>
      </w:r>
    </w:p>
  </w:footnote>
  <w:footnote w:id="104">
    <w:p w14:paraId="7D8FC28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בג"ץ 221/77 </w:t>
      </w:r>
      <w:r w:rsidRPr="001A0B66">
        <w:rPr>
          <w:b/>
          <w:bCs/>
          <w:sz w:val="18"/>
          <w:rtl/>
        </w:rPr>
        <w:t>לנגר נ' הוועדה לאישור סניגורים בבתי-הדין הצבאיים</w:t>
      </w:r>
      <w:r w:rsidRPr="001A0B66">
        <w:rPr>
          <w:sz w:val="18"/>
          <w:rtl/>
        </w:rPr>
        <w:t xml:space="preserve">, </w:t>
      </w:r>
      <w:proofErr w:type="spellStart"/>
      <w:r w:rsidRPr="001A0B66">
        <w:rPr>
          <w:sz w:val="18"/>
          <w:rtl/>
        </w:rPr>
        <w:t>פ''ד</w:t>
      </w:r>
      <w:proofErr w:type="spellEnd"/>
      <w:r w:rsidRPr="001A0B66">
        <w:rPr>
          <w:sz w:val="18"/>
          <w:rtl/>
        </w:rPr>
        <w:t xml:space="preserve"> לב(1) 182 (1977).</w:t>
      </w:r>
    </w:p>
  </w:footnote>
  <w:footnote w:id="105">
    <w:p w14:paraId="0F27DC9E"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 14 לחוק סדר הדין הפלילי [נוסח משולב]. </w:t>
      </w:r>
    </w:p>
  </w:footnote>
  <w:footnote w:id="106">
    <w:p w14:paraId="074745D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אנו מצטרפים כאן לתיאורה ולטיעוניה של טליה שטיינר, "אפליית ערבים בשוק העבודה", לעיל </w:t>
      </w:r>
      <w:proofErr w:type="spellStart"/>
      <w:r w:rsidRPr="001A0B66">
        <w:rPr>
          <w:sz w:val="18"/>
          <w:rtl/>
        </w:rPr>
        <w:t>ה"ש</w:t>
      </w:r>
      <w:proofErr w:type="spellEnd"/>
      <w:r w:rsidRPr="001A0B66">
        <w:rPr>
          <w:sz w:val="18"/>
          <w:rtl/>
        </w:rPr>
        <w:t xml:space="preserve"> 5</w:t>
      </w:r>
      <w:r w:rsidR="00801B35">
        <w:rPr>
          <w:sz w:val="18"/>
          <w:rtl/>
        </w:rPr>
        <w:t>3</w:t>
      </w:r>
      <w:r w:rsidRPr="001A0B66">
        <w:rPr>
          <w:sz w:val="18"/>
          <w:rtl/>
        </w:rPr>
        <w:t>, בעמ' 144-141.</w:t>
      </w:r>
    </w:p>
  </w:footnote>
  <w:footnote w:id="107">
    <w:p w14:paraId="544ECB34"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E817FD">
        <w:rPr>
          <w:sz w:val="18"/>
          <w:rtl/>
        </w:rPr>
        <w:t>20</w:t>
      </w:r>
      <w:r w:rsidRPr="001A0B66">
        <w:rPr>
          <w:sz w:val="18"/>
          <w:rtl/>
        </w:rPr>
        <w:t>, בעמ' 87.</w:t>
      </w:r>
    </w:p>
  </w:footnote>
  <w:footnote w:id="108">
    <w:p w14:paraId="6DD6670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בג"ץ 3267/12 </w:t>
      </w:r>
      <w:proofErr w:type="spellStart"/>
      <w:r w:rsidRPr="001A0B66">
        <w:rPr>
          <w:b/>
          <w:bCs/>
          <w:sz w:val="18"/>
          <w:rtl/>
        </w:rPr>
        <w:t>חלאחלה</w:t>
      </w:r>
      <w:proofErr w:type="spellEnd"/>
      <w:r w:rsidRPr="001A0B66">
        <w:rPr>
          <w:b/>
          <w:bCs/>
          <w:sz w:val="18"/>
          <w:rtl/>
        </w:rPr>
        <w:t xml:space="preserve"> נ' המפקד הצבאי </w:t>
      </w:r>
      <w:proofErr w:type="spellStart"/>
      <w:r w:rsidRPr="001A0B66">
        <w:rPr>
          <w:b/>
          <w:bCs/>
          <w:sz w:val="18"/>
          <w:rtl/>
        </w:rPr>
        <w:t>לאיזור</w:t>
      </w:r>
      <w:proofErr w:type="spellEnd"/>
      <w:r w:rsidRPr="001A0B66">
        <w:rPr>
          <w:b/>
          <w:bCs/>
          <w:sz w:val="18"/>
          <w:rtl/>
        </w:rPr>
        <w:t xml:space="preserve"> יהודה ושומרון</w:t>
      </w:r>
      <w:r w:rsidRPr="001A0B66">
        <w:rPr>
          <w:sz w:val="18"/>
          <w:rtl/>
        </w:rPr>
        <w:t>, פס' כה לפסק דינו של השופט רובינשטיין (פורסם בנבו, 7.5.2012).</w:t>
      </w:r>
    </w:p>
  </w:footnote>
  <w:footnote w:id="109">
    <w:p w14:paraId="553B48E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קרבס, לעיל </w:t>
      </w:r>
      <w:proofErr w:type="spellStart"/>
      <w:r w:rsidRPr="001A0B66">
        <w:rPr>
          <w:sz w:val="18"/>
          <w:rtl/>
        </w:rPr>
        <w:t>ה"ש</w:t>
      </w:r>
      <w:proofErr w:type="spellEnd"/>
      <w:r w:rsidRPr="001A0B66">
        <w:rPr>
          <w:sz w:val="18"/>
          <w:rtl/>
        </w:rPr>
        <w:t xml:space="preserve"> 5, בעמ' 683</w:t>
      </w:r>
      <w:r w:rsidR="00975721">
        <w:rPr>
          <w:sz w:val="18"/>
          <w:rtl/>
        </w:rPr>
        <w:t>, 685</w:t>
      </w:r>
      <w:r w:rsidRPr="001A0B66">
        <w:rPr>
          <w:sz w:val="18"/>
          <w:rtl/>
        </w:rPr>
        <w:t xml:space="preserve">; </w:t>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בעמ' 178–179. </w:t>
      </w:r>
    </w:p>
  </w:footnote>
  <w:footnote w:id="110">
    <w:p w14:paraId="5E691D09"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קרבס, שם, בעמ' 685.</w:t>
      </w:r>
    </w:p>
  </w:footnote>
  <w:footnote w:id="111">
    <w:p w14:paraId="018BCEE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E817FD">
        <w:rPr>
          <w:sz w:val="18"/>
          <w:rtl/>
        </w:rPr>
        <w:t>20</w:t>
      </w:r>
      <w:r w:rsidRPr="001A0B66">
        <w:rPr>
          <w:sz w:val="18"/>
          <w:rtl/>
        </w:rPr>
        <w:t xml:space="preserve">, בעמ' 90. </w:t>
      </w:r>
    </w:p>
  </w:footnote>
  <w:footnote w:id="112">
    <w:p w14:paraId="6B8DCF61"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ברק-ארז </w:t>
      </w:r>
      <w:proofErr w:type="spellStart"/>
      <w:r w:rsidRPr="001A0B66">
        <w:rPr>
          <w:sz w:val="18"/>
          <w:rtl/>
        </w:rPr>
        <w:t>ווקסמן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8, בעמ' 42–45. </w:t>
      </w:r>
    </w:p>
  </w:footnote>
  <w:footnote w:id="113">
    <w:p w14:paraId="3A59BD6B" w14:textId="77777777" w:rsidR="0019600D" w:rsidRDefault="0091227C" w:rsidP="00E157D9">
      <w:pPr>
        <w:pStyle w:val="FootnoteText"/>
        <w:spacing w:after="60"/>
      </w:pPr>
      <w:r w:rsidRPr="001A0B66">
        <w:rPr>
          <w:rStyle w:val="FootnoteReference"/>
          <w:rFonts w:cs="David"/>
          <w:sz w:val="18"/>
          <w:rtl/>
        </w:rPr>
        <w:footnoteRef/>
      </w:r>
      <w:r w:rsidRPr="001A0B66">
        <w:rPr>
          <w:sz w:val="18"/>
          <w:rtl/>
        </w:rPr>
        <w:t xml:space="preserve"> </w:t>
      </w:r>
      <w:r w:rsidRPr="001A0B66">
        <w:rPr>
          <w:sz w:val="18"/>
          <w:rtl/>
        </w:rPr>
        <w:tab/>
      </w:r>
      <w:r w:rsidRPr="001A0B66">
        <w:rPr>
          <w:smallCaps/>
          <w:sz w:val="18"/>
        </w:rPr>
        <w:t xml:space="preserve">Stefan </w:t>
      </w:r>
      <w:proofErr w:type="spellStart"/>
      <w:r w:rsidRPr="001A0B66">
        <w:rPr>
          <w:smallCaps/>
          <w:sz w:val="18"/>
        </w:rPr>
        <w:t>Trechsel</w:t>
      </w:r>
      <w:proofErr w:type="spellEnd"/>
      <w:r w:rsidRPr="001A0B66">
        <w:rPr>
          <w:smallCaps/>
          <w:sz w:val="18"/>
        </w:rPr>
        <w:t xml:space="preserve">, Human Rights in Criminal Proceedings </w:t>
      </w:r>
      <w:r w:rsidRPr="001A0B66">
        <w:rPr>
          <w:sz w:val="18"/>
        </w:rPr>
        <w:t>85 (2005)</w:t>
      </w:r>
      <w:r w:rsidRPr="001A0B66">
        <w:rPr>
          <w:sz w:val="18"/>
          <w:rtl/>
        </w:rPr>
        <w:t>.</w:t>
      </w:r>
    </w:p>
  </w:footnote>
  <w:footnote w:id="114">
    <w:p w14:paraId="1FC4769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ס' 108, 109 ו-110 לתקנות ההגנה (שעת חירום), 1945.</w:t>
      </w:r>
    </w:p>
  </w:footnote>
  <w:footnote w:id="115">
    <w:p w14:paraId="4F05FB42"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 35 לחוק סדר הדין הפלילי (סמכויות אכיפה – מעצרים), </w:t>
      </w:r>
      <w:proofErr w:type="spellStart"/>
      <w:r w:rsidRPr="001A0B66">
        <w:rPr>
          <w:sz w:val="18"/>
          <w:rtl/>
        </w:rPr>
        <w:t>התשנ"ו</w:t>
      </w:r>
      <w:proofErr w:type="spellEnd"/>
      <w:r w:rsidRPr="001A0B66">
        <w:rPr>
          <w:sz w:val="18"/>
          <w:rtl/>
        </w:rPr>
        <w:t>–1996.</w:t>
      </w:r>
    </w:p>
  </w:footnote>
  <w:footnote w:id="116">
    <w:p w14:paraId="3384F79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 4, 5 ו-7 לחוק סמכויות לשעת חירום (מעצרים), </w:t>
      </w:r>
      <w:proofErr w:type="spellStart"/>
      <w:r w:rsidRPr="001A0B66">
        <w:rPr>
          <w:sz w:val="18"/>
          <w:rtl/>
        </w:rPr>
        <w:t>התשל"ט</w:t>
      </w:r>
      <w:proofErr w:type="spellEnd"/>
      <w:r w:rsidRPr="001A0B66">
        <w:rPr>
          <w:sz w:val="18"/>
          <w:rtl/>
        </w:rPr>
        <w:t>–1979.</w:t>
      </w:r>
    </w:p>
  </w:footnote>
  <w:footnote w:id="117">
    <w:p w14:paraId="0F1BCCF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אמנון רובינשטיין וברק מדינה </w:t>
      </w:r>
      <w:r w:rsidRPr="001A0B66">
        <w:rPr>
          <w:b/>
          <w:bCs/>
          <w:sz w:val="18"/>
          <w:rtl/>
        </w:rPr>
        <w:t>המשפט החוקתי של מדינת ישראל</w:t>
      </w:r>
      <w:r w:rsidRPr="001A0B66">
        <w:rPr>
          <w:sz w:val="18"/>
          <w:rtl/>
        </w:rPr>
        <w:t xml:space="preserve"> 926–933 (מהדורה שישית, שוקן, 2005)</w:t>
      </w:r>
      <w:r w:rsidR="00282FFB">
        <w:rPr>
          <w:sz w:val="18"/>
          <w:rtl/>
        </w:rPr>
        <w:t xml:space="preserve"> (להלן: רובינשטיין ומדינה)</w:t>
      </w:r>
      <w:r w:rsidRPr="001A0B66">
        <w:rPr>
          <w:sz w:val="18"/>
          <w:rtl/>
        </w:rPr>
        <w:t xml:space="preserve">; חוק להארכת תקפן של תקנות שעת חירום (יהודה והשומרון – שיפוט בעבירות ועזרה משפטית), </w:t>
      </w:r>
      <w:proofErr w:type="spellStart"/>
      <w:r w:rsidRPr="001A0B66">
        <w:rPr>
          <w:sz w:val="18"/>
          <w:rtl/>
        </w:rPr>
        <w:t>התשע"ז</w:t>
      </w:r>
      <w:proofErr w:type="spellEnd"/>
      <w:r w:rsidRPr="001A0B66">
        <w:rPr>
          <w:sz w:val="18"/>
          <w:rtl/>
        </w:rPr>
        <w:t>–2017.</w:t>
      </w:r>
    </w:p>
  </w:footnote>
  <w:footnote w:id="118">
    <w:p w14:paraId="38935A3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קרבס, לעיל </w:t>
      </w:r>
      <w:proofErr w:type="spellStart"/>
      <w:r w:rsidRPr="001A0B66">
        <w:rPr>
          <w:sz w:val="18"/>
          <w:rtl/>
        </w:rPr>
        <w:t>ה"ש</w:t>
      </w:r>
      <w:proofErr w:type="spellEnd"/>
      <w:r w:rsidRPr="001A0B66">
        <w:rPr>
          <w:sz w:val="18"/>
          <w:rtl/>
        </w:rPr>
        <w:t xml:space="preserve"> 5, בעמ' 677. ראו גם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Ref53027519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7</w:t>
      </w:r>
      <w:r w:rsidRPr="001A0B66">
        <w:rPr>
          <w:sz w:val="18"/>
          <w:rtl/>
        </w:rPr>
        <w:fldChar w:fldCharType="end"/>
      </w:r>
      <w:r w:rsidRPr="001A0B66">
        <w:rPr>
          <w:sz w:val="18"/>
          <w:rtl/>
        </w:rPr>
        <w:t xml:space="preserve">, בעמ' 39–42. </w:t>
      </w:r>
    </w:p>
  </w:footnote>
  <w:footnote w:id="119">
    <w:p w14:paraId="07F940E2"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קרמניצר</w:t>
      </w:r>
      <w:proofErr w:type="spellEnd"/>
      <w:r w:rsidRPr="001A0B66">
        <w:rPr>
          <w:sz w:val="18"/>
          <w:rtl/>
        </w:rPr>
        <w:t xml:space="preserve"> ואחרים, לעיל </w:t>
      </w:r>
      <w:proofErr w:type="spellStart"/>
      <w:r w:rsidRPr="001A0B66">
        <w:rPr>
          <w:sz w:val="18"/>
          <w:rtl/>
        </w:rPr>
        <w:t>ה"ש</w:t>
      </w:r>
      <w:proofErr w:type="spellEnd"/>
      <w:r w:rsidRPr="001A0B66">
        <w:rPr>
          <w:sz w:val="18"/>
          <w:rtl/>
        </w:rPr>
        <w:t xml:space="preserve"> 8, בעמ' 192.</w:t>
      </w:r>
    </w:p>
  </w:footnote>
  <w:footnote w:id="120">
    <w:p w14:paraId="003AE17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להסבר על אודות מערכת המשפט הפלילית בשטחים ראו </w:t>
      </w:r>
      <w:r w:rsidRPr="001A0B66">
        <w:rPr>
          <w:sz w:val="18"/>
          <w:rtl/>
        </w:rPr>
        <w:fldChar w:fldCharType="begin"/>
      </w:r>
      <w:r w:rsidRPr="001A0B66">
        <w:rPr>
          <w:sz w:val="18"/>
          <w:rtl/>
        </w:rPr>
        <w:instrText xml:space="preserve"> ADDIN ZOTERO_ITEM CSL_CITATION {"citationID":"StasnDb4","properties":{"formattedCitation":"\\uc0\\u1505{}\\uc0\\u1502{}\\uc0\\u1491{}\\uc0\\u1512{} \\uc0\\u1489{}\\uc0\\u1503{}-\\uc0\\u1504{}\\uc0\\u1514{}\\uc0\\u1503{}, {\\i{}\\uc0\\u1497{}\\uc0\\u1493{}\\uc0\\u1513{}\\uc0\\u1489{}\\uc0\\u1497{}\\uc0\\u1501{} \\uc0\\u1489{}\\uc0\\u1514{}\\uc0\\u1493{}\\uc0\\u1498{} \\uc0\\u1506{}\\uc0\\u1502{}\\uc0\\u1501{}: \\uc0\\u1492{}\\uc0\\u1495{}\\uc0\\u1500{}\\uc0\\u1514{} \\uc0\\u1492{}\\uc0\\u1502{}\\uc0\\u1513{}\\uc0\\u1508{}\\uc0\\u1496{} \\uc0\\u1492{}\\uc0\\u1497{}\\uc0\\u1513{}\\uc0\\u1512{}\\uc0\\u1488{}\\uc0\\u1500{}\\uc0\\u1497{} \\uc0\\u1489{}\\uc0\\u1489{}\\uc0\\u1514{}\\uc0\\u1497{} \\uc0\\u1492{}\\uc0\\u1502{}\\uc0\\u1513{}\\uc0\\u1508{}\\uc0\\u1496{} \\uc0\\u1492{}\\uc0\\u1510{}\\uc0\\u1489{}\\uc0\\u1488{}\\uc0\\u1497{}\\uc0\\u1497{}\\uc0\\u1501{} \\uc0\\u1489{}\\uc0\\u1513{}\\uc0\\u1496{}\\uc0\\u1495{}\\uc0\\u1497{}\\uc0\\u1501{}}, 43 {\\scaps \\uc0\\u1514{}\\uc0\\u1497{}\\uc0\\u1488{}\\uc0\\u1493{}\\uc0\\u1512{}\\uc0\\u1497{}\\uc0\\u1492{} \\uc0\\u1493{}\\uc0\\u1489{}\\uc0\\u1497{}\\uc0\\u1511{}\\uc0\\u1493{}\\uc0\\u1512{}\\uc0\\u1514{}} 45 (2014).","plainCitation":"סמדר בן-נתן, יושבים בתוך עמם: החלת המשפט הישראלי בבתי המשפט הצבאיים בשטחים, 43 תיאוריה וביקורת 45 (2014).","dontUpdate":true,"noteIndex":73},"citationItems":[{"id":461,"uris":["http://zotero.org/users/4596729/items/PG5J83QR"],"uri":["http://zotero.org/users/4596729/items/PG5J83QR"],"itemData":{"id":461,"type":"article-journal","container-title":"תיאוריה וביקורת","page":"45","title":"יושבים בתוך עמם: החלת המשפט הישראלי בבתי המשפט הצבאיים בשטחים","volume":"43","author":[{"family":"בן-נתן","given":"סמדר"}],"issued":{"date-parts":[["2014"]]}}}],"schema":"https://github.com/citation-style-language/schema/raw/master/csl-citation.json"} </w:instrText>
      </w:r>
      <w:r w:rsidRPr="001A0B66">
        <w:rPr>
          <w:sz w:val="18"/>
          <w:rtl/>
        </w:rPr>
        <w:fldChar w:fldCharType="separate"/>
      </w:r>
      <w:r w:rsidRPr="001A0B66">
        <w:rPr>
          <w:sz w:val="18"/>
          <w:rtl/>
        </w:rPr>
        <w:t xml:space="preserve">סמדר בן-נתן "יושבים בתוך עמם: החלת המשפט הישראלי בבתי המשפט הצבאיים בשטחים" </w:t>
      </w:r>
      <w:r w:rsidRPr="001A0B66">
        <w:rPr>
          <w:b/>
          <w:bCs/>
          <w:smallCaps/>
          <w:sz w:val="18"/>
          <w:rtl/>
        </w:rPr>
        <w:t>תיאוריה וביקורת</w:t>
      </w:r>
      <w:r w:rsidRPr="001A0B66">
        <w:rPr>
          <w:sz w:val="18"/>
          <w:rtl/>
        </w:rPr>
        <w:t xml:space="preserve"> 43, 45 (2014)</w:t>
      </w:r>
      <w:r w:rsidRPr="001A0B66">
        <w:rPr>
          <w:sz w:val="18"/>
          <w:rtl/>
        </w:rPr>
        <w:fldChar w:fldCharType="end"/>
      </w:r>
      <w:r w:rsidRPr="001A0B66">
        <w:rPr>
          <w:sz w:val="18"/>
          <w:rtl/>
        </w:rPr>
        <w:t xml:space="preserve"> (להלן: בן-נתן, בתי המשפט הצבאיים). </w:t>
      </w:r>
    </w:p>
  </w:footnote>
  <w:footnote w:id="121">
    <w:p w14:paraId="6DE8510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למשל צו בדבר הוראות ביטחון [נוסח משולב] (יהודה ושומרון) (מס' 1651), </w:t>
      </w:r>
      <w:proofErr w:type="spellStart"/>
      <w:r w:rsidRPr="001A0B66">
        <w:rPr>
          <w:sz w:val="18"/>
          <w:rtl/>
        </w:rPr>
        <w:t>התש"ע</w:t>
      </w:r>
      <w:proofErr w:type="spellEnd"/>
      <w:r w:rsidRPr="001A0B66">
        <w:rPr>
          <w:sz w:val="18"/>
          <w:rtl/>
        </w:rPr>
        <w:t>–2009.</w:t>
      </w:r>
    </w:p>
  </w:footnote>
  <w:footnote w:id="122">
    <w:p w14:paraId="04790EE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לפירוט ביחס לכל אחד מההסדרים ראו קרבס, לעיל </w:t>
      </w:r>
      <w:proofErr w:type="spellStart"/>
      <w:r w:rsidRPr="001A0B66">
        <w:rPr>
          <w:sz w:val="18"/>
          <w:rtl/>
        </w:rPr>
        <w:t>ה"ש</w:t>
      </w:r>
      <w:proofErr w:type="spellEnd"/>
      <w:r w:rsidRPr="001A0B66">
        <w:rPr>
          <w:sz w:val="18"/>
          <w:rtl/>
        </w:rPr>
        <w:t xml:space="preserve"> 5, בעמ' 657–666; </w:t>
      </w:r>
      <w:proofErr w:type="spellStart"/>
      <w:r w:rsidRPr="001A0B66">
        <w:rPr>
          <w:sz w:val="18"/>
          <w:rtl/>
        </w:rPr>
        <w:t>בנישו</w:t>
      </w:r>
      <w:proofErr w:type="spellEnd"/>
      <w:r w:rsidRPr="001A0B66">
        <w:rPr>
          <w:sz w:val="18"/>
          <w:rtl/>
        </w:rPr>
        <w:t xml:space="preserve"> </w:t>
      </w:r>
      <w:proofErr w:type="spellStart"/>
      <w:r w:rsidRPr="001A0B66">
        <w:rPr>
          <w:sz w:val="18"/>
          <w:rtl/>
        </w:rPr>
        <w:t>ווגיסר</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324485">
        <w:rPr>
          <w:sz w:val="18"/>
          <w:rtl/>
        </w:rPr>
        <w:t>20</w:t>
      </w:r>
      <w:r w:rsidRPr="001A0B66">
        <w:rPr>
          <w:sz w:val="18"/>
          <w:rtl/>
        </w:rPr>
        <w:t xml:space="preserve">, בעמ' 67–69, 72–76;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Ref53027519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7</w:t>
      </w:r>
      <w:r w:rsidRPr="001A0B66">
        <w:rPr>
          <w:sz w:val="18"/>
          <w:rtl/>
        </w:rPr>
        <w:fldChar w:fldCharType="end"/>
      </w:r>
      <w:r w:rsidRPr="001A0B66">
        <w:rPr>
          <w:sz w:val="18"/>
          <w:rtl/>
        </w:rPr>
        <w:t xml:space="preserve">, בעמ' 34–38. חלק מתקנות </w:t>
      </w:r>
      <w:proofErr w:type="spellStart"/>
      <w:r w:rsidRPr="001A0B66">
        <w:rPr>
          <w:sz w:val="18"/>
          <w:rtl/>
        </w:rPr>
        <w:t>הההגנה</w:t>
      </w:r>
      <w:proofErr w:type="spellEnd"/>
      <w:r w:rsidRPr="001A0B66">
        <w:rPr>
          <w:sz w:val="18"/>
          <w:rtl/>
        </w:rPr>
        <w:t xml:space="preserve"> חלות גם בתחומי מדינת ישראל, אולם מרביתן הוחלפו בחוק סמכויות לשעת חירום ובחוק המאבק בטרור.</w:t>
      </w:r>
      <w:r w:rsidRPr="001A0B66">
        <w:rPr>
          <w:sz w:val="18"/>
          <w:szCs w:val="24"/>
          <w:rtl/>
        </w:rPr>
        <w:t xml:space="preserve"> </w:t>
      </w:r>
    </w:p>
  </w:footnote>
  <w:footnote w:id="123">
    <w:p w14:paraId="333D6CF1"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קרבס, לעיל </w:t>
      </w:r>
      <w:proofErr w:type="spellStart"/>
      <w:r w:rsidRPr="001A0B66">
        <w:rPr>
          <w:sz w:val="18"/>
          <w:rtl/>
        </w:rPr>
        <w:t>ה"ש</w:t>
      </w:r>
      <w:proofErr w:type="spellEnd"/>
      <w:r w:rsidRPr="001A0B66">
        <w:rPr>
          <w:sz w:val="18"/>
          <w:rtl/>
        </w:rPr>
        <w:t xml:space="preserve"> 5, בעמ' 677. ראו גם </w:t>
      </w:r>
      <w:proofErr w:type="spellStart"/>
      <w:r w:rsidRPr="001A0B66">
        <w:rPr>
          <w:sz w:val="18"/>
          <w:rtl/>
        </w:rPr>
        <w:t>פרייז</w:t>
      </w:r>
      <w:proofErr w:type="spellEnd"/>
      <w:r w:rsidRPr="001A0B66">
        <w:rPr>
          <w:sz w:val="18"/>
          <w:rtl/>
        </w:rPr>
        <w:t xml:space="preserve"> ונון,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Ref53027519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7</w:t>
      </w:r>
      <w:r w:rsidRPr="001A0B66">
        <w:rPr>
          <w:sz w:val="18"/>
          <w:rtl/>
        </w:rPr>
        <w:fldChar w:fldCharType="end"/>
      </w:r>
      <w:r w:rsidRPr="001A0B66">
        <w:rPr>
          <w:sz w:val="18"/>
          <w:rtl/>
        </w:rPr>
        <w:t xml:space="preserve">, בעמ' 39–42. </w:t>
      </w:r>
    </w:p>
  </w:footnote>
  <w:footnote w:id="124">
    <w:p w14:paraId="568915C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בן-נתן, בתי המשפט הצבאיים, לעיל </w:t>
      </w:r>
      <w:proofErr w:type="spellStart"/>
      <w:r w:rsidRPr="001A0B66">
        <w:rPr>
          <w:sz w:val="18"/>
          <w:rtl/>
        </w:rPr>
        <w:t>ה"ש</w:t>
      </w:r>
      <w:proofErr w:type="spellEnd"/>
      <w:r w:rsidRPr="001A0B66">
        <w:rPr>
          <w:sz w:val="18"/>
          <w:rtl/>
        </w:rPr>
        <w:t xml:space="preserve"> 1</w:t>
      </w:r>
      <w:r w:rsidR="00E817FD">
        <w:rPr>
          <w:sz w:val="18"/>
          <w:rtl/>
        </w:rPr>
        <w:t>19</w:t>
      </w:r>
      <w:r w:rsidRPr="001A0B66">
        <w:rPr>
          <w:sz w:val="18"/>
          <w:rtl/>
        </w:rPr>
        <w:t xml:space="preserve">, בעמ' 50. </w:t>
      </w:r>
    </w:p>
  </w:footnote>
  <w:footnote w:id="125">
    <w:p w14:paraId="6415E81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שם, שם; וכן האגודה לזכויות האזרח, </w:t>
      </w:r>
      <w:r w:rsidRPr="001A0B66">
        <w:rPr>
          <w:b/>
          <w:bCs/>
          <w:sz w:val="18"/>
          <w:rtl/>
        </w:rPr>
        <w:t>שלטון אחד, שתי מערכות חוק: משטר הדינים של ישראל בגדה המערבית</w:t>
      </w:r>
      <w:r w:rsidRPr="001A0B66">
        <w:rPr>
          <w:sz w:val="18"/>
          <w:rtl/>
        </w:rPr>
        <w:t xml:space="preserve"> (2014), בעמ' 20-11</w:t>
      </w:r>
      <w:r w:rsidR="00324485">
        <w:rPr>
          <w:sz w:val="18"/>
          <w:rtl/>
        </w:rPr>
        <w:t xml:space="preserve"> (להלן: האגודה לזכויות </w:t>
      </w:r>
      <w:proofErr w:type="spellStart"/>
      <w:r w:rsidR="00324485">
        <w:rPr>
          <w:sz w:val="18"/>
          <w:rtl/>
        </w:rPr>
        <w:t>הא</w:t>
      </w:r>
      <w:r w:rsidR="002A06BF">
        <w:rPr>
          <w:sz w:val="18"/>
          <w:rtl/>
        </w:rPr>
        <w:t>ז</w:t>
      </w:r>
      <w:r w:rsidR="00324485">
        <w:rPr>
          <w:sz w:val="18"/>
          <w:rtl/>
        </w:rPr>
        <w:t>רח,שלטון</w:t>
      </w:r>
      <w:proofErr w:type="spellEnd"/>
      <w:r w:rsidR="00324485">
        <w:rPr>
          <w:sz w:val="18"/>
          <w:rtl/>
        </w:rPr>
        <w:t xml:space="preserve"> אחד)</w:t>
      </w:r>
      <w:r w:rsidRPr="001A0B66">
        <w:rPr>
          <w:sz w:val="18"/>
          <w:rtl/>
        </w:rPr>
        <w:t xml:space="preserve">. </w:t>
      </w:r>
    </w:p>
  </w:footnote>
  <w:footnote w:id="126">
    <w:p w14:paraId="37755794" w14:textId="77777777" w:rsidR="0019600D" w:rsidRDefault="0091227C" w:rsidP="00324485">
      <w:pPr>
        <w:pStyle w:val="FootnoteText"/>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למשל: </w:t>
      </w:r>
      <w:proofErr w:type="spellStart"/>
      <w:r w:rsidRPr="001A0B66">
        <w:rPr>
          <w:sz w:val="18"/>
          <w:rtl/>
        </w:rPr>
        <w:t>ו"ע</w:t>
      </w:r>
      <w:proofErr w:type="spellEnd"/>
      <w:r w:rsidRPr="001A0B66">
        <w:rPr>
          <w:sz w:val="18"/>
          <w:rtl/>
        </w:rPr>
        <w:t xml:space="preserve"> (ערעורים </w:t>
      </w:r>
      <w:proofErr w:type="spellStart"/>
      <w:r w:rsidRPr="001A0B66">
        <w:rPr>
          <w:sz w:val="18"/>
          <w:rtl/>
        </w:rPr>
        <w:t>איו"ש</w:t>
      </w:r>
      <w:proofErr w:type="spellEnd"/>
      <w:r w:rsidRPr="001A0B66">
        <w:rPr>
          <w:sz w:val="18"/>
          <w:rtl/>
        </w:rPr>
        <w:t xml:space="preserve">) 5/06 </w:t>
      </w:r>
      <w:r w:rsidRPr="001A0B66">
        <w:rPr>
          <w:b/>
          <w:bCs/>
          <w:sz w:val="18"/>
          <w:rtl/>
        </w:rPr>
        <w:t>שוורץ נ' מפקד כוחות צה"ל באזור</w:t>
      </w:r>
      <w:r w:rsidRPr="001A0B66">
        <w:rPr>
          <w:sz w:val="18"/>
          <w:rtl/>
        </w:rPr>
        <w:t xml:space="preserve"> (פורסם בנבו, 31.10.2006); </w:t>
      </w:r>
      <w:proofErr w:type="spellStart"/>
      <w:r w:rsidRPr="001A0B66">
        <w:rPr>
          <w:sz w:val="18"/>
          <w:rtl/>
        </w:rPr>
        <w:t>ו"ע</w:t>
      </w:r>
      <w:proofErr w:type="spellEnd"/>
      <w:r w:rsidRPr="001A0B66">
        <w:rPr>
          <w:sz w:val="18"/>
          <w:rtl/>
        </w:rPr>
        <w:t xml:space="preserve"> (ערעורים </w:t>
      </w:r>
      <w:proofErr w:type="spellStart"/>
      <w:r w:rsidRPr="001A0B66">
        <w:rPr>
          <w:sz w:val="18"/>
          <w:rtl/>
        </w:rPr>
        <w:t>איו"ש</w:t>
      </w:r>
      <w:proofErr w:type="spellEnd"/>
      <w:r w:rsidRPr="001A0B66">
        <w:rPr>
          <w:sz w:val="18"/>
          <w:rtl/>
        </w:rPr>
        <w:t xml:space="preserve">) 1/10 </w:t>
      </w:r>
      <w:r w:rsidRPr="001A0B66">
        <w:rPr>
          <w:b/>
          <w:bCs/>
          <w:sz w:val="18"/>
          <w:rtl/>
        </w:rPr>
        <w:t>הכהן נ' התביעה הצבאית</w:t>
      </w:r>
      <w:r w:rsidRPr="001A0B66">
        <w:rPr>
          <w:sz w:val="18"/>
          <w:rtl/>
        </w:rPr>
        <w:t xml:space="preserve"> (2010). בית המשפט העליון קבע במספר מקרים ששיקול הדעת לבחירת מערכת הדינים נתון בידי רשויות התביעה, וכי לאזרחים ישראלים המתגוררים בשטחי הגדה המערבית אין זכות להיות נתונים לחוק הישראלי בלבד: עניין </w:t>
      </w:r>
      <w:proofErr w:type="spellStart"/>
      <w:r w:rsidRPr="001A0B66">
        <w:rPr>
          <w:b/>
          <w:bCs/>
          <w:sz w:val="18"/>
          <w:rtl/>
        </w:rPr>
        <w:t>פדרמן</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3</w:t>
      </w:r>
      <w:r w:rsidR="00324485">
        <w:rPr>
          <w:sz w:val="18"/>
          <w:rtl/>
        </w:rPr>
        <w:t>1</w:t>
      </w:r>
      <w:r w:rsidRPr="001A0B66">
        <w:rPr>
          <w:sz w:val="18"/>
          <w:rtl/>
        </w:rPr>
        <w:t xml:space="preserve">. </w:t>
      </w:r>
      <w:r w:rsidR="004A251B">
        <w:rPr>
          <w:sz w:val="18"/>
          <w:rtl/>
        </w:rPr>
        <w:t xml:space="preserve">וראו גם את הדיון של רובינשטיין ומדינה, לעיל </w:t>
      </w:r>
      <w:proofErr w:type="spellStart"/>
      <w:r w:rsidR="004A251B">
        <w:rPr>
          <w:sz w:val="18"/>
          <w:rtl/>
        </w:rPr>
        <w:t>ה"ש</w:t>
      </w:r>
      <w:proofErr w:type="spellEnd"/>
      <w:r w:rsidR="004A251B">
        <w:rPr>
          <w:sz w:val="18"/>
          <w:rtl/>
        </w:rPr>
        <w:t xml:space="preserve"> 116, </w:t>
      </w:r>
      <w:proofErr w:type="spellStart"/>
      <w:r w:rsidR="004A251B">
        <w:rPr>
          <w:sz w:val="18"/>
          <w:rtl/>
        </w:rPr>
        <w:t>ב</w:t>
      </w:r>
      <w:r w:rsidR="004A251B" w:rsidRPr="00791263">
        <w:rPr>
          <w:rtl/>
        </w:rPr>
        <w:t>בג"צ</w:t>
      </w:r>
      <w:proofErr w:type="spellEnd"/>
      <w:r w:rsidR="004A251B" w:rsidRPr="00791263">
        <w:rPr>
          <w:rtl/>
        </w:rPr>
        <w:t xml:space="preserve"> 2612/94 </w:t>
      </w:r>
      <w:proofErr w:type="spellStart"/>
      <w:r w:rsidR="004A251B" w:rsidRPr="00791263">
        <w:rPr>
          <w:b/>
          <w:bCs/>
          <w:rtl/>
        </w:rPr>
        <w:t>שעאר</w:t>
      </w:r>
      <w:proofErr w:type="spellEnd"/>
      <w:r w:rsidR="004A251B" w:rsidRPr="00791263">
        <w:rPr>
          <w:b/>
          <w:bCs/>
          <w:rtl/>
        </w:rPr>
        <w:t xml:space="preserve"> נ' מפקד כוחות צה"ל באזור יהודה ושומרון,</w:t>
      </w:r>
      <w:r w:rsidR="004A251B" w:rsidRPr="00791263">
        <w:rPr>
          <w:rtl/>
        </w:rPr>
        <w:t xml:space="preserve"> פ"ד מח(3) 675</w:t>
      </w:r>
      <w:r w:rsidR="004A251B">
        <w:rPr>
          <w:rtl/>
        </w:rPr>
        <w:t xml:space="preserve"> (1994): "</w:t>
      </w:r>
      <w:r w:rsidR="004A251B" w:rsidRPr="00282FFB">
        <w:rPr>
          <w:rtl/>
        </w:rPr>
        <w:t xml:space="preserve">בית המשפט דחה שם את הטענה כי יש להחיל את חוק סמכויות שעת חירום (מעצרים), תשל"ט-1979, גם על אזרח ישראלי תושב השטחים (וכי לכן אין לעוצרו במעצר </w:t>
      </w:r>
      <w:proofErr w:type="spellStart"/>
      <w:r w:rsidR="004A251B" w:rsidRPr="00282FFB">
        <w:rPr>
          <w:rtl/>
        </w:rPr>
        <w:t>מינהלי</w:t>
      </w:r>
      <w:proofErr w:type="spellEnd"/>
      <w:r w:rsidR="004A251B" w:rsidRPr="00282FFB">
        <w:rPr>
          <w:rtl/>
        </w:rPr>
        <w:t xml:space="preserve"> על-פי תקנות ההגנה (שעת חירום), 1945). העותר טען, כי היווצרותה של מערכת דינים החלה רק על </w:t>
      </w:r>
      <w:r w:rsidR="004A251B">
        <w:rPr>
          <w:rtl/>
        </w:rPr>
        <w:t>מ</w:t>
      </w:r>
      <w:r w:rsidR="004A251B" w:rsidRPr="00282FFB">
        <w:rPr>
          <w:rtl/>
        </w:rPr>
        <w:t xml:space="preserve">תיישבים ישראלים בשטחים (מכוח תקנות שעת חירום (יהודה ושומרון </w:t>
      </w:r>
      <w:r w:rsidR="004A251B" w:rsidRPr="00282FFB">
        <w:sym w:font="Symbol" w:char="F02D"/>
      </w:r>
      <w:r w:rsidR="004A251B" w:rsidRPr="00282FFB">
        <w:rPr>
          <w:rtl/>
        </w:rPr>
        <w:t xml:space="preserve"> שיפוט בעבירות ועזרה משפטית)) מלמדת על כוונה להחיל את החוק הישראלי כולו על אזרחי ישראל ביהודה ושומרון. בית-המשפט קבע, כי החלת המשפט הישראלי </w:t>
      </w:r>
      <w:r w:rsidR="004A251B">
        <w:rPr>
          <w:rtl/>
        </w:rPr>
        <w:t xml:space="preserve">[כולו] </w:t>
      </w:r>
      <w:r w:rsidR="004A251B" w:rsidRPr="00282FFB">
        <w:rPr>
          <w:rtl/>
        </w:rPr>
        <w:t>אפשרית רק מכוח הכרזה על-פי סעיף 11ב או סעיף 1 לפקודת שטח השיפוט והסמכויות, ולכן דחה את הטענה</w:t>
      </w:r>
      <w:r w:rsidR="004A251B">
        <w:rPr>
          <w:rtl/>
        </w:rPr>
        <w:t xml:space="preserve">" (שם, בעמ' 932, </w:t>
      </w:r>
      <w:proofErr w:type="spellStart"/>
      <w:r w:rsidR="004A251B">
        <w:rPr>
          <w:rtl/>
        </w:rPr>
        <w:t>ה"ש</w:t>
      </w:r>
      <w:proofErr w:type="spellEnd"/>
      <w:r w:rsidR="004A251B">
        <w:rPr>
          <w:rtl/>
        </w:rPr>
        <w:t xml:space="preserve"> 76).</w:t>
      </w:r>
    </w:p>
  </w:footnote>
  <w:footnote w:id="127">
    <w:p w14:paraId="2BAD9C7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מנשר בדבר סדרי שלטון ומשפט (מנשר מס' 2), קובץ מנשרים, צווים ומינויים מס' 1 (1967), עמ' 3: "כל סמכות של שלטון, חקיקה, מינוי </w:t>
      </w:r>
      <w:proofErr w:type="spellStart"/>
      <w:r w:rsidRPr="001A0B66">
        <w:rPr>
          <w:sz w:val="18"/>
          <w:rtl/>
        </w:rPr>
        <w:t>ומינהל</w:t>
      </w:r>
      <w:proofErr w:type="spellEnd"/>
      <w:r w:rsidRPr="001A0B66">
        <w:rPr>
          <w:sz w:val="18"/>
          <w:rtl/>
        </w:rPr>
        <w:t xml:space="preserve"> לגבי האזור או תושביו תהא מעתה נתונה בידי בלבד ותופעל רק על ידי או על ידי מי שימתנה לכך על ידי או יפעל מטעמי." וראו גם משה דרורי </w:t>
      </w:r>
      <w:r w:rsidRPr="001A0B66">
        <w:rPr>
          <w:b/>
          <w:bCs/>
          <w:sz w:val="18"/>
          <w:rtl/>
        </w:rPr>
        <w:t>החקיקה באזור יהודה והשומרון (1975</w:t>
      </w:r>
      <w:r w:rsidRPr="001A0B66">
        <w:rPr>
          <w:sz w:val="18"/>
          <w:rtl/>
        </w:rPr>
        <w:t xml:space="preserve">), עמ' 34; ומנחם </w:t>
      </w:r>
      <w:proofErr w:type="spellStart"/>
      <w:r w:rsidRPr="001A0B66">
        <w:rPr>
          <w:sz w:val="18"/>
          <w:rtl/>
        </w:rPr>
        <w:t>הופנונג</w:t>
      </w:r>
      <w:proofErr w:type="spellEnd"/>
      <w:r w:rsidRPr="001A0B66">
        <w:rPr>
          <w:sz w:val="18"/>
          <w:rtl/>
        </w:rPr>
        <w:t xml:space="preserve"> </w:t>
      </w:r>
      <w:r w:rsidRPr="001A0B66">
        <w:rPr>
          <w:b/>
          <w:bCs/>
          <w:sz w:val="18"/>
          <w:rtl/>
        </w:rPr>
        <w:t>ישראל - בטחון המדינה מול שלטון החוק</w:t>
      </w:r>
      <w:r w:rsidRPr="001A0B66">
        <w:rPr>
          <w:sz w:val="18"/>
          <w:rtl/>
        </w:rPr>
        <w:t>, עמ' 290-288 (תשס"א).</w:t>
      </w:r>
    </w:p>
  </w:footnote>
  <w:footnote w:id="128">
    <w:p w14:paraId="3E58309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בצלם </w:t>
      </w:r>
      <w:r w:rsidRPr="001A0B66">
        <w:rPr>
          <w:b/>
          <w:bCs/>
          <w:sz w:val="18"/>
          <w:rtl/>
        </w:rPr>
        <w:t>מערכת המשפט הצבאים בגדה המערבית</w:t>
      </w:r>
      <w:r w:rsidRPr="001A0B66">
        <w:rPr>
          <w:sz w:val="18"/>
          <w:rtl/>
        </w:rPr>
        <w:t xml:space="preserve"> (1989); יש דין </w:t>
      </w:r>
      <w:r w:rsidRPr="001A0B66">
        <w:rPr>
          <w:b/>
          <w:bCs/>
          <w:sz w:val="18"/>
          <w:rtl/>
        </w:rPr>
        <w:t>משפטים בחצר האחורית, מימוש זכויות ההליך ההוגן בבתי המשפט הצבאיים בשטחים</w:t>
      </w:r>
      <w:r w:rsidRPr="001A0B66">
        <w:rPr>
          <w:sz w:val="18"/>
          <w:rtl/>
        </w:rPr>
        <w:t xml:space="preserve"> (2017); בן-נתן, בתי המשפט הצבאיים,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Ref53042794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00E817FD">
        <w:rPr>
          <w:sz w:val="18"/>
          <w:rtl/>
        </w:rPr>
        <w:t>119</w:t>
      </w:r>
      <w:r w:rsidRPr="001A0B66">
        <w:rPr>
          <w:sz w:val="18"/>
          <w:rtl/>
        </w:rPr>
        <w:fldChar w:fldCharType="end"/>
      </w:r>
      <w:r w:rsidRPr="001A0B66">
        <w:rPr>
          <w:sz w:val="18"/>
          <w:rtl/>
        </w:rPr>
        <w:t xml:space="preserve">; בצלם </w:t>
      </w:r>
      <w:r w:rsidRPr="001A0B66">
        <w:rPr>
          <w:b/>
          <w:bCs/>
          <w:sz w:val="18"/>
          <w:rtl/>
        </w:rPr>
        <w:t>עצור עד שלא הוכחה חפותו: מעצר עד תום ההליכים בבתי המשפט הצבאיים בגדה המערבית</w:t>
      </w:r>
      <w:r w:rsidRPr="001A0B66">
        <w:rPr>
          <w:sz w:val="18"/>
          <w:rtl/>
        </w:rPr>
        <w:t xml:space="preserve"> (2015); בצלם </w:t>
      </w:r>
      <w:r w:rsidRPr="001A0B66">
        <w:rPr>
          <w:b/>
          <w:bCs/>
          <w:sz w:val="18"/>
          <w:rtl/>
        </w:rPr>
        <w:t>נוער בסיכון:</w:t>
      </w:r>
      <w:r w:rsidRPr="001A0B66">
        <w:rPr>
          <w:b/>
          <w:bCs/>
          <w:sz w:val="18"/>
        </w:rPr>
        <w:t xml:space="preserve"> </w:t>
      </w:r>
      <w:r w:rsidRPr="001A0B66">
        <w:rPr>
          <w:b/>
          <w:bCs/>
          <w:sz w:val="18"/>
          <w:rtl/>
        </w:rPr>
        <w:t>כיצד מכשירים בתי המשפט הצבאיים את הפגיעה בזכויות הקטינים</w:t>
      </w:r>
      <w:r w:rsidRPr="001A0B66">
        <w:rPr>
          <w:sz w:val="18"/>
          <w:rtl/>
        </w:rPr>
        <w:t xml:space="preserve"> (2018);</w:t>
      </w:r>
      <w:r w:rsidRPr="001A0B66">
        <w:rPr>
          <w:smallCaps/>
          <w:sz w:val="18"/>
        </w:rPr>
        <w:t>Amnesty International, The Military Justice System in the Occupied Territories: Detention, Interrogation and Trial Proceedings</w:t>
      </w:r>
      <w:r w:rsidRPr="001A0B66">
        <w:rPr>
          <w:sz w:val="18"/>
        </w:rPr>
        <w:t xml:space="preserve"> (1991); </w:t>
      </w:r>
      <w:r w:rsidRPr="001A0B66">
        <w:rPr>
          <w:smallCaps/>
          <w:sz w:val="18"/>
        </w:rPr>
        <w:t>Lawyers’ Committee for Human Rights Lawyers and the Military Justice System</w:t>
      </w:r>
      <w:r w:rsidRPr="001A0B66">
        <w:rPr>
          <w:sz w:val="18"/>
        </w:rPr>
        <w:t xml:space="preserve"> (1992); </w:t>
      </w:r>
      <w:r w:rsidRPr="001A0B66">
        <w:rPr>
          <w:sz w:val="18"/>
          <w:rtl/>
        </w:rPr>
        <w:fldChar w:fldCharType="begin"/>
      </w:r>
      <w:r w:rsidRPr="001A0B66">
        <w:rPr>
          <w:sz w:val="18"/>
          <w:rtl/>
        </w:rPr>
        <w:instrText xml:space="preserve"> </w:instrText>
      </w:r>
      <w:r w:rsidRPr="001A0B66">
        <w:rPr>
          <w:sz w:val="18"/>
        </w:rPr>
        <w:instrText>ADDIN ZOTERO_ITEM CSL_CITATION {"citationID":"f6kncMaZ","properties":{"formattedCitation":"{\\scaps Lisa Hajjar}, {\\scaps Courting Conflict: The Israeli Military Court System in the West Bank and Gaza} (2005).","plainCitation":"Lisa Hajjar, Courting Conflict: The Israeli Military Court System in the West Bank and Gaza (2005).","noteIndex":78},"citationItems":[{"id":200,"uris":["http://zotero.org/users/4596729/items/BAMTKR73"],"uri":["http://zotero.org/users/4596729/items/BAMTKR73"],"itemData":{"id":200</w:instrText>
      </w:r>
      <w:r w:rsidRPr="001A0B66">
        <w:rPr>
          <w:sz w:val="18"/>
          <w:rtl/>
        </w:rPr>
        <w:instrText>,"</w:instrText>
      </w:r>
      <w:r w:rsidRPr="001A0B66">
        <w:rPr>
          <w:sz w:val="18"/>
        </w:rPr>
        <w:instrText>type":"book","publisher":"University of California Press","title":"Courting Conflict: The Israeli Military Court System in the West Bank and Gaza","author":[{"family":"Hajjar","given":"Lisa"}],"issued":{"date-parts</w:instrText>
      </w:r>
      <w:r w:rsidRPr="001A0B66">
        <w:rPr>
          <w:sz w:val="18"/>
          <w:rtl/>
        </w:rPr>
        <w:instrText>":[["2005"]]</w:instrText>
      </w:r>
      <w:r w:rsidRPr="001A0B66">
        <w:rPr>
          <w:sz w:val="18"/>
        </w:rPr>
        <w:instrText>}}}],"schema":"https://github.com/citation-style-language/schema/raw/master/csl-citation.json</w:instrText>
      </w:r>
      <w:r w:rsidRPr="001A0B66">
        <w:rPr>
          <w:sz w:val="18"/>
          <w:rtl/>
        </w:rPr>
        <w:instrText xml:space="preserve">"} </w:instrText>
      </w:r>
      <w:r w:rsidRPr="001A0B66">
        <w:rPr>
          <w:sz w:val="18"/>
          <w:rtl/>
        </w:rPr>
        <w:fldChar w:fldCharType="separate"/>
      </w:r>
      <w:r w:rsidRPr="001A0B66">
        <w:rPr>
          <w:smallCaps/>
          <w:sz w:val="18"/>
          <w:szCs w:val="24"/>
        </w:rPr>
        <w:t>Lisa Hajjar</w:t>
      </w:r>
      <w:r w:rsidRPr="001A0B66">
        <w:rPr>
          <w:sz w:val="18"/>
          <w:szCs w:val="24"/>
        </w:rPr>
        <w:t xml:space="preserve">, </w:t>
      </w:r>
      <w:r w:rsidRPr="001A0B66">
        <w:rPr>
          <w:smallCaps/>
          <w:sz w:val="18"/>
          <w:szCs w:val="24"/>
        </w:rPr>
        <w:t>Courting Conflict: The Israeli Military Court System in the West Bank and Gaza</w:t>
      </w:r>
      <w:r w:rsidRPr="001A0B66">
        <w:rPr>
          <w:sz w:val="18"/>
          <w:szCs w:val="24"/>
        </w:rPr>
        <w:t xml:space="preserve"> (2005)</w:t>
      </w:r>
      <w:r w:rsidRPr="001A0B66">
        <w:rPr>
          <w:sz w:val="18"/>
          <w:rtl/>
        </w:rPr>
        <w:fldChar w:fldCharType="end"/>
      </w:r>
      <w:r w:rsidRPr="001A0B66">
        <w:rPr>
          <w:sz w:val="18"/>
        </w:rPr>
        <w:t xml:space="preserve">; </w:t>
      </w:r>
      <w:r w:rsidRPr="001A0B66">
        <w:rPr>
          <w:sz w:val="18"/>
          <w:rtl/>
        </w:rPr>
        <w:fldChar w:fldCharType="begin"/>
      </w:r>
      <w:r w:rsidRPr="001A0B66">
        <w:rPr>
          <w:sz w:val="18"/>
          <w:rtl/>
        </w:rPr>
        <w:instrText xml:space="preserve"> </w:instrText>
      </w:r>
      <w:r w:rsidRPr="001A0B66">
        <w:rPr>
          <w:sz w:val="18"/>
        </w:rPr>
        <w:instrText>ADDIN ZOTERO_ITEM CSL_CITATION {"citationID":"8BGJUXOY","properties":{"formattedCitation":"Hedi Viterbo, {\\i{}Military Courts}, {\\i{}in} {\\scaps The ABC of the OPT} 264\\uc0\\u8211{}276 (Orna Ben- Naftali, Michael Sfard, &amp; Hedi Viterbo eds., 2018</w:instrText>
      </w:r>
      <w:r w:rsidRPr="001A0B66">
        <w:rPr>
          <w:sz w:val="18"/>
          <w:rtl/>
        </w:rPr>
        <w:instrText>).","</w:instrText>
      </w:r>
      <w:r w:rsidRPr="001A0B66">
        <w:rPr>
          <w:sz w:val="18"/>
        </w:rPr>
        <w:instrText>plainCitation":"Hedi Viterbo, Military Courts, in The ABC of the OPT 264–276 (Orna Ben- Naftali, Michael Sfard, &amp; Hedi Viterbo eds., 2018).","dontUpdate":true,"noteIndex":78},"citationItems":[{"id":115,"uris":["http://zotero.org/users/4596729/items/3LDMUUV5"],"uri":["http://zotero.org/users/4596729/items/3LDMUUV5"],"itemData":{"id":115,"type":"chapter","container-title":"The ABC of the OPT","page":"264-276","publisher":"Cambridge University Press","title":"Military Courts","author":[{"family":"Viterbo","given":"Hedi"}],"editor":[{"family":"Ben- Naftali","given":"Orna"},{"family":"Sfard","given":"Michael"},{"family":"Viterbo","given":"Hedi"}],"issued":{"date-parts":[["2018"]]}}}],"schema":"https://github.com/citation-style-language/schema/raw/master/csl-citation.json</w:instrText>
      </w:r>
      <w:r w:rsidRPr="001A0B66">
        <w:rPr>
          <w:sz w:val="18"/>
          <w:rtl/>
        </w:rPr>
        <w:instrText xml:space="preserve">"} </w:instrText>
      </w:r>
      <w:r w:rsidRPr="001A0B66">
        <w:rPr>
          <w:sz w:val="18"/>
          <w:rtl/>
        </w:rPr>
        <w:fldChar w:fldCharType="separate"/>
      </w:r>
      <w:r w:rsidRPr="001A0B66">
        <w:rPr>
          <w:sz w:val="18"/>
          <w:szCs w:val="24"/>
        </w:rPr>
        <w:t xml:space="preserve">Hedi Viterbo, </w:t>
      </w:r>
      <w:r w:rsidRPr="001A0B66">
        <w:rPr>
          <w:i/>
          <w:iCs/>
          <w:sz w:val="18"/>
          <w:szCs w:val="24"/>
        </w:rPr>
        <w:t>Military Courts</w:t>
      </w:r>
      <w:r w:rsidRPr="001A0B66">
        <w:rPr>
          <w:sz w:val="18"/>
          <w:szCs w:val="24"/>
        </w:rPr>
        <w:t xml:space="preserve">, </w:t>
      </w:r>
      <w:r w:rsidRPr="001A0B66">
        <w:rPr>
          <w:i/>
          <w:iCs/>
          <w:sz w:val="18"/>
          <w:szCs w:val="24"/>
        </w:rPr>
        <w:t>in</w:t>
      </w:r>
      <w:r w:rsidRPr="001A0B66">
        <w:rPr>
          <w:sz w:val="18"/>
          <w:szCs w:val="24"/>
        </w:rPr>
        <w:t xml:space="preserve"> </w:t>
      </w:r>
      <w:r w:rsidRPr="001A0B66">
        <w:rPr>
          <w:smallCaps/>
          <w:sz w:val="18"/>
          <w:szCs w:val="24"/>
        </w:rPr>
        <w:t>The ABC of the OPT</w:t>
      </w:r>
      <w:r w:rsidRPr="001A0B66">
        <w:rPr>
          <w:sz w:val="18"/>
          <w:szCs w:val="24"/>
        </w:rPr>
        <w:t xml:space="preserve"> 264–276 (Orna Ben-Naftali, Michael </w:t>
      </w:r>
      <w:proofErr w:type="spellStart"/>
      <w:r w:rsidRPr="001A0B66">
        <w:rPr>
          <w:sz w:val="18"/>
          <w:szCs w:val="24"/>
        </w:rPr>
        <w:t>Sfard</w:t>
      </w:r>
      <w:proofErr w:type="spellEnd"/>
      <w:r w:rsidRPr="001A0B66">
        <w:rPr>
          <w:sz w:val="18"/>
          <w:szCs w:val="24"/>
        </w:rPr>
        <w:t>, &amp; Hedi Viterbo eds., 2018)</w:t>
      </w:r>
      <w:r w:rsidRPr="001A0B66">
        <w:rPr>
          <w:sz w:val="18"/>
          <w:rtl/>
        </w:rPr>
        <w:fldChar w:fldCharType="end"/>
      </w:r>
      <w:r w:rsidRPr="001A0B66">
        <w:rPr>
          <w:sz w:val="18"/>
          <w:rtl/>
        </w:rPr>
        <w:t xml:space="preserve">. קיימת גם עמדה הפוכה, שלפיה בתי המשפט הצבאיים בשטחים פועלים לקידום זכויות הנאשמים הפלסטינים. עמדה זו מוצגת בעיקר במאמרים פרי עטם של שופטי בתי המשפט הצבאיים, ובפרט בשני המאמרים הללו: </w:t>
      </w:r>
      <w:r w:rsidRPr="001A0B66">
        <w:rPr>
          <w:sz w:val="18"/>
          <w:rtl/>
        </w:rPr>
        <w:fldChar w:fldCharType="begin"/>
      </w:r>
      <w:r w:rsidRPr="001A0B66">
        <w:rPr>
          <w:sz w:val="18"/>
          <w:rtl/>
        </w:rPr>
        <w:instrText xml:space="preserve"> ADDIN ZOTERO_ITEM CSL_CITATION {"citationID":"KZsh0s8Y","properties":{"formattedCitation":"\\uc0\\u1504{}\\uc0\\u1514{}\\uc0\\u1504{}\\uc0\\u1488{}\\uc0\\u1500{} \\uc0\\u1489{}\\uc0\\u1504{}\\uc0\\u1497{}\\uc0\\u1513{}\\uc0\\u1493{}, {\\i{}\\uc0\\u1506{}\\uc0\\u1500{} \\uc0\\u1492{}\\uc0\\u1502{}\\uc0\\u1513{}\\uc0\\u1508{}\\uc0\\u1496{} \\uc0\\u1492{}\\uc0\\u1508{}\\uc0\\u1500{}\\uc0\\u1497{}\\uc0\\u1500{}\\uc0\\u1497{} \\uc0\\u1489{}\\uc0\\u1488{}\\uc0\\u1494{}\\uc0\\u1493{}\\uc0\\u1512{}\\uc0\\u1497{} \\uc0\\u1497{}\\uc0\\u1492{}\\uc0\\u1493{}\\uc0\\u1491{}\\uc0\\u1492{}, \\uc0\\u1492{}\\uc0\\u1513{}\\uc0\\u1493{}\\uc0\\u1502{}\\uc0\\u1512{}\\uc0\\u1493{}\\uc0\\u1503{} \\uc0\\u1493{}\\uc0\\u1495{}\\uc0\\u1489{}\\uc0\\u1500{} \\uc0\\u1506{}\\uc0\\u1494{}\\uc0\\u1492{}: \\uc0\\u1488{}\\uc0\\u1513{}\\uc0\\u1504{}\\uc0\\u1489{} \\uc0\\u1493{}\\uc0\\u1502{}\\uc0\\u1490{}\\uc0\\u1502{}\\uc0\\u1493{}\\uc0\\u1514{}}, 18 {\\scaps \\uc0\\u1502{}\\uc0\\u1513{}\\uc0\\u1508{}\\uc0\\u1496{} \\uc0\\u1493{}\\uc0\\u1510{}\\uc0\\u1489{}\\uc0\\u1488{}} 293 (2005).","plainCitation":"נתנאל בנישו, על המשפט הפלילי באזורי יהודה, השומרון וחבל עזה: אשנב ומגמות, 18 משפט וצבא 293 (2005).","dontUpdate":true,"noteIndex":78},"citationItems":[{"id":458,"uris":["http://zotero.org/users/4596729/items/PY8TZ6ZJ"],"uri":["http://zotero.org/users/4596729/items/PY8TZ6ZJ"],"itemData":{"id":458,"type":"article-journal","container-title":"משפט וצבא","page":"293","title":"על המשפט הפלילי באזורי יהודה, השומרון וחבל עזה: אשנב ומגמות","volume":"18","author":[{"family":"בנישו","given":"נתנאל"}],"issued":{"date-parts":[["2005"]]}}}],"schema":"https://github.com/citation-style-language/schema/raw/master/csl-citation.json"} </w:instrText>
      </w:r>
      <w:r w:rsidRPr="001A0B66">
        <w:rPr>
          <w:sz w:val="18"/>
          <w:rtl/>
        </w:rPr>
        <w:fldChar w:fldCharType="separate"/>
      </w:r>
      <w:r w:rsidRPr="001A0B66">
        <w:rPr>
          <w:sz w:val="18"/>
          <w:rtl/>
        </w:rPr>
        <w:t xml:space="preserve">נתנאל </w:t>
      </w:r>
      <w:proofErr w:type="spellStart"/>
      <w:r w:rsidRPr="001A0B66">
        <w:rPr>
          <w:sz w:val="18"/>
          <w:rtl/>
        </w:rPr>
        <w:t>בנישו</w:t>
      </w:r>
      <w:proofErr w:type="spellEnd"/>
      <w:r w:rsidRPr="001A0B66">
        <w:rPr>
          <w:sz w:val="18"/>
          <w:rtl/>
        </w:rPr>
        <w:t xml:space="preserve"> "על המשפט הפלילי באזורי יהודה, השומרון וחבל עזה: אשנב ומגמות" </w:t>
      </w:r>
      <w:r w:rsidRPr="001A0B66">
        <w:rPr>
          <w:b/>
          <w:bCs/>
          <w:smallCaps/>
          <w:sz w:val="18"/>
          <w:rtl/>
        </w:rPr>
        <w:t>משפט וצבא</w:t>
      </w:r>
      <w:r w:rsidRPr="001A0B66">
        <w:rPr>
          <w:sz w:val="18"/>
          <w:rtl/>
        </w:rPr>
        <w:t xml:space="preserve"> 18, 293 (2005)</w:t>
      </w:r>
      <w:r w:rsidRPr="001A0B66">
        <w:rPr>
          <w:sz w:val="18"/>
          <w:rtl/>
        </w:rPr>
        <w:fldChar w:fldCharType="end"/>
      </w:r>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ADDIN ZOTERO_ITEM CSL_CITATION {"citationID":"fB0QDiAM","properties":{"formattedCitation":"\\uc0\\u1510{}\\uc0\\u1489{}\\uc0\\u1497{} \\uc0\\u1500{}\\uc0\\u1511{}\\uc0\\u1495{}, {\\i{}\\uc0\\u1492{}\\uc0\\u1490{}\\uc0\\u1504{}\\uc0\\u1492{} \\uc0\\u1506</w:instrText>
      </w:r>
      <w:r w:rsidRPr="001A0B66">
        <w:rPr>
          <w:sz w:val="18"/>
          <w:rtl/>
        </w:rPr>
        <w:instrText>{}\\</w:instrText>
      </w:r>
      <w:r w:rsidRPr="001A0B66">
        <w:rPr>
          <w:sz w:val="18"/>
        </w:rPr>
        <w:instrText>uc0\\u1500{} \\uc0\\u1494{}\\uc0\\u1499{}\\uc0\\u1493{}\\uc0\\u1497{}\\uc0\\u1493{}\\uc0\\u1514{} \\uc0\\u1488{}\\uc0\\u1491{}\\uc0\\u1501{} \\uc0\\u1489{}\\uc0\\u1489{}\\uc0\\u1514{}\\uc0\\u1497{} \\uc0\\u1492{}\\uc0\\u1502{}\\uc0\\u1513{}\\uc0\\u1508</w:instrText>
      </w:r>
      <w:r w:rsidRPr="001A0B66">
        <w:rPr>
          <w:sz w:val="18"/>
          <w:rtl/>
        </w:rPr>
        <w:instrText>{}\\</w:instrText>
      </w:r>
      <w:r w:rsidRPr="001A0B66">
        <w:rPr>
          <w:sz w:val="18"/>
        </w:rPr>
        <w:instrText>uc0\\u1496{} \\uc0\\u1492{}\\uc0\\u1510{}\\uc0\\u1489{}\\uc0\\u1488{}\\uc0\\u1497{}\\uc0\\u1497{}\\uc0\\u1501{} \\uc0\\u1489{}\\uc0\\u1514{}\\uc0\\u1511{}\\uc0\\u1493{}\\uc0\\u1508{}\\uc0\\u1492{} \\uc0\\u1513{}\\uc0\\u1500{} \\uc0\\u1500{}\\uc0\\u149</w:instrText>
      </w:r>
      <w:r w:rsidRPr="001A0B66">
        <w:rPr>
          <w:sz w:val="18"/>
          <w:rtl/>
        </w:rPr>
        <w:instrText>5{}\\</w:instrText>
      </w:r>
      <w:r w:rsidRPr="001A0B66">
        <w:rPr>
          <w:sz w:val="18"/>
        </w:rPr>
        <w:instrText>uc0\\u1497{}\\uc0\\u1502{}\\uc0\\u1492{} \\uc0\\u1489{}\\uc0\\u1496{}\\uc0\\u1512{}\\uc0\\u1493{}\\uc0\\u1512</w:instrText>
      </w:r>
      <w:r w:rsidRPr="001A0B66">
        <w:rPr>
          <w:sz w:val="18"/>
          <w:rtl/>
        </w:rPr>
        <w:instrText>{}}, {\\</w:instrText>
      </w:r>
      <w:r w:rsidRPr="001A0B66">
        <w:rPr>
          <w:sz w:val="18"/>
        </w:rPr>
        <w:instrText>i{}in} {\\scaps \\uc0\\u1505{}\\uc0\\u1508{}\\uc0\\u1512{} \\uc0\\u1502{}\\uc0\\u1512{}\\uc0\\u1491{}\\uc0\\u1499{}\\uc0\\u1497</w:instrText>
      </w:r>
      <w:r w:rsidRPr="001A0B66">
        <w:rPr>
          <w:sz w:val="18"/>
          <w:rtl/>
        </w:rPr>
        <w:instrText>{} (\\</w:instrText>
      </w:r>
      <w:r w:rsidRPr="001A0B66">
        <w:rPr>
          <w:sz w:val="18"/>
        </w:rPr>
        <w:instrText>uc0\\u1502{}\\uc0\\u1493{}\\uc0\\u1496{}\\uc0\\u1492{}) \\uc0\\u1511{}\\uc0\\u1512{}\\uc0\\u1502{}\\uc0\\u1504{}\\uc0\\u1497{}\\uc0\\u1510{}\\uc0\\u1512{}} 641\\uc0\\u8211{}674 (\\uc0\\u1488{}\\uc0\\u1512{}\\uc0\\u1497{}\\uc0\\u1488{}\\uc0\\u1500{} \\uc0</w:instrText>
      </w:r>
      <w:r w:rsidRPr="001A0B66">
        <w:rPr>
          <w:sz w:val="18"/>
          <w:rtl/>
        </w:rPr>
        <w:instrText>\\</w:instrText>
      </w:r>
      <w:r w:rsidRPr="001A0B66">
        <w:rPr>
          <w:sz w:val="18"/>
        </w:rPr>
        <w:instrText>u1489{}\\uc0\\u1504{}\\uc0\\u1491{}\\uc0\\u1493{}\\uc0\\u1512{}, \\uc0\\u1495{}\\uc0\\u8217{}\\uc0\\u1488{}\\uc0\\u1500{}\\uc0\\u1491{} \\uc0\\u1490{}\\uc0\\u1504{}\\uc0\\u1488{}\\uc0\\u1497{}\\uc0\\u1501{}, &amp; \\uc0\\u1488{}\\uc0\\u1497{}\\uc0\\u1500</w:instrText>
      </w:r>
      <w:r w:rsidRPr="001A0B66">
        <w:rPr>
          <w:sz w:val="18"/>
          <w:rtl/>
        </w:rPr>
        <w:instrText>{}\\</w:instrText>
      </w:r>
      <w:r w:rsidRPr="001A0B66">
        <w:rPr>
          <w:sz w:val="18"/>
        </w:rPr>
        <w:instrText>uc0\\u1503{} \\uc0\\u1505{}\\uc0\\u1489{}\\uc0\\u1503{} eds., 2017).","plainCitation</w:instrText>
      </w:r>
      <w:r w:rsidRPr="001A0B66">
        <w:rPr>
          <w:sz w:val="18"/>
          <w:rtl/>
        </w:rPr>
        <w:instrText xml:space="preserve">":"צבי לקח, הגנה על זכויות אדם בבתי המשפט הצבאיים בתקופה של לחימה בטרור, </w:instrText>
      </w:r>
      <w:r w:rsidRPr="001A0B66">
        <w:rPr>
          <w:sz w:val="18"/>
        </w:rPr>
        <w:instrText>in</w:instrText>
      </w:r>
      <w:r w:rsidRPr="001A0B66">
        <w:rPr>
          <w:sz w:val="18"/>
          <w:rtl/>
        </w:rPr>
        <w:instrText xml:space="preserve"> ספר מרדכי (מוטה) קרמניצר 641–674 (אריאל בנדור, ח’אלד גנאים, &amp; אילן סבן </w:instrText>
      </w:r>
      <w:r w:rsidRPr="001A0B66">
        <w:rPr>
          <w:sz w:val="18"/>
        </w:rPr>
        <w:instrText>eds., 2017).","dontUpdate":true,"noteIndex":78},"citationItems":[{"id":638,"uris":["http://zotero.org/users/4596729/items/DJQR65J8"],"uri":["http://zotero.org/users/4596729/items/DJQR65J8"],"itemData":{"id":638,"type":"chapter","container-title</w:instrText>
      </w:r>
      <w:r w:rsidRPr="001A0B66">
        <w:rPr>
          <w:sz w:val="18"/>
          <w:rtl/>
        </w:rPr>
        <w:instrText>":"ספר מרדכי (מוטה) קרמניצר","</w:instrText>
      </w:r>
      <w:r w:rsidRPr="001A0B66">
        <w:rPr>
          <w:sz w:val="18"/>
        </w:rPr>
        <w:instrText>page</w:instrText>
      </w:r>
      <w:r w:rsidRPr="001A0B66">
        <w:rPr>
          <w:sz w:val="18"/>
          <w:rtl/>
        </w:rPr>
        <w:instrText>":"641-674","</w:instrText>
      </w:r>
      <w:r w:rsidRPr="001A0B66">
        <w:rPr>
          <w:sz w:val="18"/>
        </w:rPr>
        <w:instrText>publisher</w:instrText>
      </w:r>
      <w:r w:rsidRPr="001A0B66">
        <w:rPr>
          <w:sz w:val="18"/>
          <w:rtl/>
        </w:rPr>
        <w:instrText>":"נבו הוצאה לאור","</w:instrText>
      </w:r>
      <w:r w:rsidRPr="001A0B66">
        <w:rPr>
          <w:sz w:val="18"/>
        </w:rPr>
        <w:instrText>title</w:instrText>
      </w:r>
      <w:r w:rsidRPr="001A0B66">
        <w:rPr>
          <w:sz w:val="18"/>
          <w:rtl/>
        </w:rPr>
        <w:instrText>":"הגנה על זכויות אדם בבתי המשפט הצבאיים בתקופה של לחימה בטרור","</w:instrText>
      </w:r>
      <w:r w:rsidRPr="001A0B66">
        <w:rPr>
          <w:sz w:val="18"/>
        </w:rPr>
        <w:instrText>author</w:instrText>
      </w:r>
      <w:r w:rsidRPr="001A0B66">
        <w:rPr>
          <w:sz w:val="18"/>
          <w:rtl/>
        </w:rPr>
        <w:instrText>":[{"</w:instrText>
      </w:r>
      <w:r w:rsidRPr="001A0B66">
        <w:rPr>
          <w:sz w:val="18"/>
        </w:rPr>
        <w:instrText>family</w:instrText>
      </w:r>
      <w:r w:rsidRPr="001A0B66">
        <w:rPr>
          <w:sz w:val="18"/>
          <w:rtl/>
        </w:rPr>
        <w:instrText>":"לקח","</w:instrText>
      </w:r>
      <w:r w:rsidRPr="001A0B66">
        <w:rPr>
          <w:sz w:val="18"/>
        </w:rPr>
        <w:instrText>given</w:instrText>
      </w:r>
      <w:r w:rsidRPr="001A0B66">
        <w:rPr>
          <w:sz w:val="18"/>
          <w:rtl/>
        </w:rPr>
        <w:instrText>":"צבי"}],"</w:instrText>
      </w:r>
      <w:r w:rsidRPr="001A0B66">
        <w:rPr>
          <w:sz w:val="18"/>
        </w:rPr>
        <w:instrText>editor":[{"family</w:instrText>
      </w:r>
      <w:r w:rsidRPr="001A0B66">
        <w:rPr>
          <w:sz w:val="18"/>
          <w:rtl/>
        </w:rPr>
        <w:instrText>":"בנדור","</w:instrText>
      </w:r>
      <w:r w:rsidRPr="001A0B66">
        <w:rPr>
          <w:sz w:val="18"/>
        </w:rPr>
        <w:instrText>given</w:instrText>
      </w:r>
      <w:r w:rsidRPr="001A0B66">
        <w:rPr>
          <w:sz w:val="18"/>
          <w:rtl/>
        </w:rPr>
        <w:instrText>":"אריאל"},{"</w:instrText>
      </w:r>
      <w:r w:rsidRPr="001A0B66">
        <w:rPr>
          <w:sz w:val="18"/>
        </w:rPr>
        <w:instrText>family</w:instrText>
      </w:r>
      <w:r w:rsidRPr="001A0B66">
        <w:rPr>
          <w:sz w:val="18"/>
          <w:rtl/>
        </w:rPr>
        <w:instrText>":"גנאים","</w:instrText>
      </w:r>
      <w:r w:rsidRPr="001A0B66">
        <w:rPr>
          <w:sz w:val="18"/>
        </w:rPr>
        <w:instrText>given</w:instrText>
      </w:r>
      <w:r w:rsidRPr="001A0B66">
        <w:rPr>
          <w:sz w:val="18"/>
          <w:rtl/>
        </w:rPr>
        <w:instrText>":"ח'אלד"},{"</w:instrText>
      </w:r>
      <w:r w:rsidRPr="001A0B66">
        <w:rPr>
          <w:sz w:val="18"/>
        </w:rPr>
        <w:instrText>family</w:instrText>
      </w:r>
      <w:r w:rsidRPr="001A0B66">
        <w:rPr>
          <w:sz w:val="18"/>
          <w:rtl/>
        </w:rPr>
        <w:instrText>":"סבן","</w:instrText>
      </w:r>
      <w:r w:rsidRPr="001A0B66">
        <w:rPr>
          <w:sz w:val="18"/>
        </w:rPr>
        <w:instrText>given</w:instrText>
      </w:r>
      <w:r w:rsidRPr="001A0B66">
        <w:rPr>
          <w:sz w:val="18"/>
          <w:rtl/>
        </w:rPr>
        <w:instrText>":"אילן"}],"</w:instrText>
      </w:r>
      <w:r w:rsidRPr="001A0B66">
        <w:rPr>
          <w:sz w:val="18"/>
        </w:rPr>
        <w:instrText>issued":{"date-parts":[["2017"]]}}}],"schema":"https://github.com/citation-style-language/schema/raw/master/csl-citation.json</w:instrText>
      </w:r>
      <w:r w:rsidRPr="001A0B66">
        <w:rPr>
          <w:sz w:val="18"/>
          <w:rtl/>
        </w:rPr>
        <w:instrText xml:space="preserve">"} </w:instrText>
      </w:r>
      <w:r w:rsidRPr="001A0B66">
        <w:rPr>
          <w:sz w:val="18"/>
          <w:rtl/>
        </w:rPr>
        <w:fldChar w:fldCharType="separate"/>
      </w:r>
      <w:r w:rsidRPr="001A0B66">
        <w:rPr>
          <w:sz w:val="18"/>
          <w:rtl/>
        </w:rPr>
        <w:t xml:space="preserve">צבי לקח "הגנה על זכויות אדם בבתי המשפט הצבאיים בתקופה של לחימה בטרור" </w:t>
      </w:r>
      <w:r w:rsidRPr="001A0B66">
        <w:rPr>
          <w:b/>
          <w:bCs/>
          <w:smallCaps/>
          <w:sz w:val="18"/>
          <w:rtl/>
        </w:rPr>
        <w:t xml:space="preserve">ספר מרדכי (מוטה) </w:t>
      </w:r>
      <w:proofErr w:type="spellStart"/>
      <w:r w:rsidRPr="001A0B66">
        <w:rPr>
          <w:b/>
          <w:bCs/>
          <w:smallCaps/>
          <w:sz w:val="18"/>
          <w:rtl/>
        </w:rPr>
        <w:t>קרמניצר</w:t>
      </w:r>
      <w:proofErr w:type="spellEnd"/>
      <w:r w:rsidRPr="001A0B66">
        <w:rPr>
          <w:smallCaps/>
          <w:sz w:val="18"/>
          <w:rtl/>
        </w:rPr>
        <w:t xml:space="preserve"> </w:t>
      </w:r>
      <w:r w:rsidRPr="001A0B66">
        <w:rPr>
          <w:sz w:val="18"/>
          <w:rtl/>
        </w:rPr>
        <w:t xml:space="preserve">641–679 </w:t>
      </w:r>
      <w:r w:rsidRPr="001A0B66">
        <w:rPr>
          <w:smallCaps/>
          <w:sz w:val="18"/>
          <w:rtl/>
        </w:rPr>
        <w:t>(</w:t>
      </w:r>
      <w:r w:rsidRPr="001A0B66">
        <w:rPr>
          <w:sz w:val="18"/>
          <w:rtl/>
        </w:rPr>
        <w:t xml:space="preserve">אריאל בנדור, </w:t>
      </w:r>
      <w:proofErr w:type="spellStart"/>
      <w:r w:rsidRPr="001A0B66">
        <w:rPr>
          <w:sz w:val="18"/>
          <w:rtl/>
        </w:rPr>
        <w:t>ח'אלד</w:t>
      </w:r>
      <w:proofErr w:type="spellEnd"/>
      <w:r w:rsidRPr="001A0B66">
        <w:rPr>
          <w:sz w:val="18"/>
          <w:rtl/>
        </w:rPr>
        <w:t xml:space="preserve"> </w:t>
      </w:r>
      <w:proofErr w:type="spellStart"/>
      <w:r w:rsidRPr="001A0B66">
        <w:rPr>
          <w:sz w:val="18"/>
          <w:rtl/>
        </w:rPr>
        <w:t>גנאים</w:t>
      </w:r>
      <w:proofErr w:type="spellEnd"/>
      <w:r w:rsidRPr="001A0B66">
        <w:rPr>
          <w:sz w:val="18"/>
          <w:rtl/>
        </w:rPr>
        <w:t xml:space="preserve"> ואילן סבן עורכים, 2017)</w:t>
      </w:r>
      <w:r w:rsidRPr="001A0B66">
        <w:rPr>
          <w:sz w:val="18"/>
        </w:rPr>
        <w:t>.</w:t>
      </w:r>
      <w:r w:rsidRPr="001A0B66">
        <w:rPr>
          <w:sz w:val="18"/>
          <w:rtl/>
        </w:rPr>
        <w:fldChar w:fldCharType="end"/>
      </w:r>
      <w:r w:rsidRPr="001A0B66">
        <w:rPr>
          <w:sz w:val="18"/>
          <w:rtl/>
        </w:rPr>
        <w:t xml:space="preserve"> אנו סבורים שמאמרים אלו משקפים את הקושי הטמון בנחתום המעיד על עיסתו, והם אינם מתמודדים עם הביקורת המוצגת בדו"חות ארגוני זכויות האדם ובכתיבה האקדמית על מערכת המשפט הצבאית בשטחים. </w:t>
      </w:r>
    </w:p>
  </w:footnote>
  <w:footnote w:id="129">
    <w:p w14:paraId="584CBC8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bookmarkStart w:id="95" w:name="_Hlk50737743"/>
      <w:r w:rsidRPr="001A0B66">
        <w:rPr>
          <w:sz w:val="18"/>
          <w:rtl/>
        </w:rPr>
        <w:t xml:space="preserve">בן-נתן, בתי המשפט הצבאיים, לעיל </w:t>
      </w:r>
      <w:proofErr w:type="spellStart"/>
      <w:r w:rsidRPr="001A0B66">
        <w:rPr>
          <w:sz w:val="18"/>
          <w:rtl/>
        </w:rPr>
        <w:t>ה"ש</w:t>
      </w:r>
      <w:proofErr w:type="spellEnd"/>
      <w:r w:rsidRPr="001A0B66">
        <w:rPr>
          <w:sz w:val="18"/>
          <w:rtl/>
        </w:rPr>
        <w:t xml:space="preserve"> </w:t>
      </w:r>
      <w:r w:rsidR="00294C14">
        <w:rPr>
          <w:sz w:val="18"/>
          <w:rtl/>
        </w:rPr>
        <w:t>119</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Ref53042794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end"/>
      </w:r>
      <w:r w:rsidRPr="001A0B66">
        <w:rPr>
          <w:sz w:val="18"/>
          <w:rtl/>
        </w:rPr>
        <w:t>.</w:t>
      </w:r>
      <w:bookmarkEnd w:id="95"/>
      <w:r w:rsidRPr="001A0B66">
        <w:rPr>
          <w:sz w:val="18"/>
          <w:rtl/>
        </w:rPr>
        <w:t xml:space="preserve"> ראו להלן את הטעם בשלו כותבת המאמר הנזכר דווקא תומכת בהחלת מנגנון עורכי הדין המיוחדים בשטחים.</w:t>
      </w:r>
    </w:p>
  </w:footnote>
  <w:footnote w:id="130">
    <w:p w14:paraId="12E9D001"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במובן זה עמדתנו מקבלת חיזוק מביטולו של חוק ההסדרה בבג"ץ 1308/17 </w:t>
      </w:r>
      <w:r w:rsidRPr="001A0B66">
        <w:rPr>
          <w:b/>
          <w:bCs/>
          <w:sz w:val="18"/>
          <w:rtl/>
        </w:rPr>
        <w:t xml:space="preserve">עיריית </w:t>
      </w:r>
      <w:proofErr w:type="spellStart"/>
      <w:r w:rsidRPr="001A0B66">
        <w:rPr>
          <w:b/>
          <w:bCs/>
          <w:sz w:val="18"/>
          <w:rtl/>
        </w:rPr>
        <w:t>סלואד</w:t>
      </w:r>
      <w:proofErr w:type="spellEnd"/>
      <w:r w:rsidRPr="001A0B66">
        <w:rPr>
          <w:b/>
          <w:bCs/>
          <w:sz w:val="18"/>
          <w:rtl/>
        </w:rPr>
        <w:t xml:space="preserve"> נ' הכנסת</w:t>
      </w:r>
      <w:r w:rsidRPr="001A0B66">
        <w:rPr>
          <w:sz w:val="18"/>
          <w:rtl/>
        </w:rPr>
        <w:t xml:space="preserve"> (9.6.2020). בהרכב של תשעה שופטים (השופט </w:t>
      </w:r>
      <w:proofErr w:type="spellStart"/>
      <w:r w:rsidRPr="001A0B66">
        <w:rPr>
          <w:sz w:val="18"/>
          <w:rtl/>
        </w:rPr>
        <w:t>סולברג</w:t>
      </w:r>
      <w:proofErr w:type="spellEnd"/>
      <w:r w:rsidRPr="001A0B66">
        <w:rPr>
          <w:sz w:val="18"/>
          <w:rtl/>
        </w:rPr>
        <w:t xml:space="preserve"> נותר במיעוט) קבע בית המשפט העליון כי חקיקת הכנסת המתייחסת לשטחים הכבושים מחויבת לעמוד בתנאי חוקי היסוד, המבטיחים את זכותו לשוויון ולכבוד של כל אדם – לרבות התושבים הפלסטינים בשטחים הנתונים לסמכותה של מדינת ישראל. הצעת החוק שאנו דנים בה אינה חלה ישירות על השטחים, אולם בעינינו זהו חלק מהבעיה. התפיסה המדריכה אותנו היא כי אנשים שמדינת ישראל עוצרת במעצר מנהלי זכאים לאותה רמה של זכויות פרוצדורליות ומהותיות, בין שהם אזרחי ישראל ובין שהם תושבי השטחים. עוד לעניין התחולה החוץ-טריטוריאלית של זכויות המשפט ההוגן ראו:</w:t>
      </w:r>
      <w:r w:rsidRPr="001A0B66">
        <w:rPr>
          <w:sz w:val="18"/>
        </w:rPr>
        <w:t xml:space="preserve">Gerald Neuman, </w:t>
      </w:r>
      <w:r w:rsidRPr="001A0B66">
        <w:rPr>
          <w:i/>
          <w:iCs/>
          <w:sz w:val="18"/>
        </w:rPr>
        <w:t>Understanding Global Due Process</w:t>
      </w:r>
      <w:r w:rsidRPr="001A0B66">
        <w:rPr>
          <w:sz w:val="18"/>
        </w:rPr>
        <w:t xml:space="preserve">, 23 </w:t>
      </w:r>
      <w:r w:rsidRPr="001A0B66">
        <w:rPr>
          <w:smallCaps/>
          <w:sz w:val="18"/>
        </w:rPr>
        <w:t xml:space="preserve">Geo. </w:t>
      </w:r>
      <w:proofErr w:type="spellStart"/>
      <w:r w:rsidRPr="001A0B66">
        <w:rPr>
          <w:smallCaps/>
          <w:sz w:val="18"/>
        </w:rPr>
        <w:t>Immigr</w:t>
      </w:r>
      <w:proofErr w:type="spellEnd"/>
      <w:r w:rsidRPr="001A0B66">
        <w:rPr>
          <w:smallCaps/>
          <w:sz w:val="18"/>
        </w:rPr>
        <w:t>. L. J</w:t>
      </w:r>
      <w:r w:rsidRPr="001A0B66">
        <w:rPr>
          <w:sz w:val="18"/>
        </w:rPr>
        <w:t xml:space="preserve">. 365 (2009); </w:t>
      </w:r>
      <w:r w:rsidRPr="001A0B66">
        <w:rPr>
          <w:sz w:val="18"/>
        </w:rPr>
        <w:fldChar w:fldCharType="begin"/>
      </w:r>
      <w:r w:rsidRPr="001A0B66">
        <w:rPr>
          <w:sz w:val="18"/>
        </w:rPr>
        <w:instrText xml:space="preserve"> ADDIN ZOTERO_ITEM CSL_CITATION {"citationID":"4wy5Jwfl","properties":{"formattedCitation":"Smadar Ben-Natan, {\\i{}Constitutional Mindset: The Interrelations between Constitutional Law and International Law in the Extraterritorial Application of Human Rights}, 50 {\\scaps Israel Law Review} 139\\uc0\\u8211{}176 (2017).","plainCitation":"Smadar Ben-Natan, Constitutional Mindset: The Interrelations between Constitutional Law and International Law in the Extraterritorial Application of Human Rights, 50 Israel Law Review 139–176 (2017).","noteIndex":80},"citationItems":[{"id":37,"uris":["http://zotero.org/users/4596729/items/PUREKS86"],"uri":["http://zotero.org/users/4596729/items/PUREKS86"],"itemData":{"id":37,"type":"article-journal","container-title":"Israel Law Review","issue":"2","page":"139-176","title":"Constitutional Mindset: The Interrelations between Constitutional Law and International Law in the Extraterritorial Application of Human Rights","volume":"50","author":[{"family":"Ben-Natan","given":"Smadar"}],"issued":{"date-parts":[["2017"]]}}}],"schema":"https://github.com/citation-style-language/schema/raw/master/csl-citation.json"} </w:instrText>
      </w:r>
      <w:r w:rsidRPr="001A0B66">
        <w:rPr>
          <w:sz w:val="18"/>
        </w:rPr>
        <w:fldChar w:fldCharType="separate"/>
      </w:r>
      <w:r w:rsidRPr="001A0B66">
        <w:rPr>
          <w:sz w:val="18"/>
        </w:rPr>
        <w:t xml:space="preserve">Smadar Ben-Natan, </w:t>
      </w:r>
      <w:r w:rsidRPr="001A0B66">
        <w:rPr>
          <w:i/>
          <w:iCs/>
          <w:sz w:val="18"/>
        </w:rPr>
        <w:t>Constitutional Mindset: The Interrelations Between Constitutional Law and International Law in the Extraterritorial Application of Human Rights</w:t>
      </w:r>
      <w:r w:rsidRPr="001A0B66">
        <w:rPr>
          <w:sz w:val="18"/>
        </w:rPr>
        <w:t xml:space="preserve">, 50 </w:t>
      </w:r>
      <w:r w:rsidRPr="001A0B66">
        <w:rPr>
          <w:smallCaps/>
          <w:sz w:val="18"/>
        </w:rPr>
        <w:t>Isr. L. Rev</w:t>
      </w:r>
      <w:r w:rsidRPr="001A0B66">
        <w:rPr>
          <w:sz w:val="18"/>
        </w:rPr>
        <w:t>. 139–176 (2017)</w:t>
      </w:r>
      <w:r w:rsidRPr="001A0B66">
        <w:rPr>
          <w:sz w:val="18"/>
        </w:rPr>
        <w:fldChar w:fldCharType="end"/>
      </w:r>
      <w:r w:rsidRPr="001A0B66">
        <w:rPr>
          <w:sz w:val="18"/>
          <w:rtl/>
        </w:rPr>
        <w:t xml:space="preserve">. </w:t>
      </w:r>
    </w:p>
  </w:footnote>
  <w:footnote w:id="131">
    <w:p w14:paraId="2EDD6FF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מן ווינר, לעיל </w:t>
      </w:r>
      <w:proofErr w:type="spellStart"/>
      <w:r w:rsidRPr="001A0B66">
        <w:rPr>
          <w:sz w:val="18"/>
          <w:rtl/>
        </w:rPr>
        <w:t>ה"ש</w:t>
      </w:r>
      <w:proofErr w:type="spellEnd"/>
      <w:r w:rsidRPr="001A0B66">
        <w:rPr>
          <w:sz w:val="18"/>
          <w:rtl/>
        </w:rPr>
        <w:t xml:space="preserve"> </w:t>
      </w:r>
      <w:r w:rsidR="00324485">
        <w:rPr>
          <w:sz w:val="18"/>
          <w:rtl/>
        </w:rPr>
        <w:t>96</w:t>
      </w:r>
      <w:r w:rsidRPr="001A0B66">
        <w:rPr>
          <w:sz w:val="18"/>
          <w:rtl/>
        </w:rPr>
        <w:t xml:space="preserve"> בעמ' 107; בן-נתן, בתי המשפט הצבאיים, לעיל </w:t>
      </w:r>
      <w:proofErr w:type="spellStart"/>
      <w:r w:rsidRPr="001A0B66">
        <w:rPr>
          <w:sz w:val="18"/>
          <w:rtl/>
        </w:rPr>
        <w:t>ה"ש</w:t>
      </w:r>
      <w:proofErr w:type="spellEnd"/>
      <w:r w:rsidR="00294C14">
        <w:rPr>
          <w:sz w:val="18"/>
          <w:rtl/>
        </w:rPr>
        <w:t xml:space="preserve"> 119</w:t>
      </w:r>
      <w:r w:rsidRPr="001A0B66">
        <w:rPr>
          <w:sz w:val="18"/>
          <w:rtl/>
        </w:rPr>
        <w:t xml:space="preserve">. פער נוסף קיים במישור היישום: מניתוח תיקי המעצרים המנהליים בשנים 2000–2010 עלה כי 95% מהמעצרים המנהליים הם של פלסטינים מהשטחים הכבושים – הגדה המערבית ועזה, ואילו 5% הנותרים מתחלקים בין פלסטינים אזרחי ישראל, יהודים אזרחי ישראל ונתיני לבנון; קרבס, לעיל </w:t>
      </w:r>
      <w:proofErr w:type="spellStart"/>
      <w:r w:rsidRPr="001A0B66">
        <w:rPr>
          <w:sz w:val="18"/>
          <w:rtl/>
        </w:rPr>
        <w:t>ה"ש</w:t>
      </w:r>
      <w:proofErr w:type="spellEnd"/>
      <w:r w:rsidRPr="001A0B66">
        <w:rPr>
          <w:sz w:val="18"/>
          <w:rtl/>
        </w:rPr>
        <w:t xml:space="preserve"> 5, </w:t>
      </w:r>
      <w:r w:rsidR="002A06BF">
        <w:rPr>
          <w:sz w:val="18"/>
          <w:rtl/>
        </w:rPr>
        <w:t>ב</w:t>
      </w:r>
      <w:r w:rsidRPr="001A0B66">
        <w:rPr>
          <w:sz w:val="18"/>
          <w:rtl/>
        </w:rPr>
        <w:t xml:space="preserve">עמ' 677. ראו גם: מרגלית ושנער, לעיל </w:t>
      </w:r>
      <w:proofErr w:type="spellStart"/>
      <w:r w:rsidRPr="001A0B66">
        <w:rPr>
          <w:sz w:val="18"/>
          <w:rtl/>
        </w:rPr>
        <w:t>ה"ש</w:t>
      </w:r>
      <w:proofErr w:type="spellEnd"/>
      <w:r w:rsidRPr="001A0B66">
        <w:rPr>
          <w:sz w:val="18"/>
          <w:rtl/>
        </w:rPr>
        <w:t xml:space="preserve"> </w:t>
      </w:r>
      <w:r w:rsidR="00324485">
        <w:rPr>
          <w:sz w:val="18"/>
          <w:rtl/>
        </w:rPr>
        <w:t>71</w:t>
      </w:r>
      <w:r w:rsidRPr="001A0B66">
        <w:rPr>
          <w:sz w:val="18"/>
          <w:rtl/>
        </w:rPr>
        <w:t xml:space="preserve">. </w:t>
      </w:r>
    </w:p>
  </w:footnote>
  <w:footnote w:id="132">
    <w:p w14:paraId="001DE42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ס' 1 להצעת החוק.</w:t>
      </w:r>
    </w:p>
  </w:footnote>
  <w:footnote w:id="133">
    <w:p w14:paraId="15C74CB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fldChar w:fldCharType="begin"/>
      </w:r>
      <w:r w:rsidRPr="001A0B66">
        <w:rPr>
          <w:sz w:val="18"/>
          <w:rtl/>
        </w:rPr>
        <w:instrText xml:space="preserve"> ADDIN ZOTERO_ITEM CSL_CITATION {"citationID":"82lkqeQV","properties":{"formattedCitation":"\\uc0\\u1488{}\\uc0\\u1502{}\\uc0\\u1504{}\\uc0\\u1493{}\\uc0\\u1503{} \\uc0\\u1512{}\\uc0\\u1493{}\\uc0\\u1489{}\\uc0\\u1497{}\\uc0\\u1504{}\\uc0\\u1513{}\\uc0\\u1496{}\\uc0\\u1497{}\\uc0\\u1497{}\\uc0\\u1503{}, {\\i{}\\uc0\\u1497{}\\uc0\\u1513{}\\uc0\\u1512{}\\uc0\\u1488{}\\uc0\\u1500{} \\uc0\\u1493{}\\uc0\\u1492{}\\uc0\\u1513{}\\uc0\\u1496{}\\uc0\\u1495{}\\uc0\\u1497{}\\uc0\\u1501{}: \\uc0\\u1505{}\\uc0\\u1502{}\\uc0\\u1499{}\\uc0\\u1493{}\\uc0\\u1497{}\\uc0\\u1493{}\\uc0\\u1514{} \\uc0\\u1492{}\\uc0\\u1513{}\\uc0\\u1497{}\\uc0\\u1508{}\\uc0\\u1493{}\\uc0\\u1496{}}, \\uc0\\u1497{}\\uc0\\u1491{} {\\scaps \\uc0\\u1506{}\\uc0\\u1497{}\\uc0\\u1493{}\\uc0\\u1504{}\\uc0\\u1497{} \\uc0\\u1502{}\\uc0\\u1513{}\\uc0\\u1508{}\\uc0\\u1496{}} 415\\uc0\\u8211{}457 (1989).","plainCitation":"אמנון רובינשטיין, ישראל והשטחים: סמכויות השיפוט, יד עיוני משפט 415–457 (1989).","dontUpdate":true,"noteIndex":83},"citationItems":[{"id":84,"uris":["http://zotero.org/users/4596729/items/CXEIFJE7"],"uri":["http://zotero.org/users/4596729/items/CXEIFJE7"],"itemData":{"id":84,"type":"article-journal","container-title":"עיוני משפט","issue":"3","page":"415-457","title":"ישראל והשטחים: סמכויות השיפוט","volume":"יד","author":[{"family":"רובינשטיין","given":"אמנון"}],"issued":{"date-parts":[["1989"]]}}}],"schema":"https://github.com/citation-style-language/schema/raw/master/csl-citation.json"} </w:instrText>
      </w:r>
      <w:r w:rsidRPr="001A0B66">
        <w:rPr>
          <w:sz w:val="18"/>
          <w:rtl/>
        </w:rPr>
        <w:fldChar w:fldCharType="separate"/>
      </w:r>
      <w:r w:rsidRPr="001A0B66">
        <w:rPr>
          <w:sz w:val="18"/>
          <w:rtl/>
        </w:rPr>
        <w:t xml:space="preserve">אמנון רובינשטיין "ישראל והשטחים: סמכויות השיפוט" </w:t>
      </w:r>
      <w:r w:rsidRPr="001A0B66">
        <w:rPr>
          <w:b/>
          <w:bCs/>
          <w:smallCaps/>
          <w:sz w:val="18"/>
          <w:rtl/>
        </w:rPr>
        <w:t>עיוני משפט</w:t>
      </w:r>
      <w:r w:rsidRPr="001A0B66">
        <w:rPr>
          <w:sz w:val="18"/>
          <w:rtl/>
        </w:rPr>
        <w:t xml:space="preserve"> יד 415 (1989)</w:t>
      </w:r>
      <w:r w:rsidRPr="001A0B66">
        <w:rPr>
          <w:sz w:val="18"/>
          <w:rtl/>
        </w:rPr>
        <w:fldChar w:fldCharType="end"/>
      </w:r>
      <w:r w:rsidRPr="001A0B66">
        <w:rPr>
          <w:sz w:val="18"/>
          <w:rtl/>
        </w:rPr>
        <w:t>; האגודה לזכויות האזרח</w:t>
      </w:r>
      <w:r w:rsidR="002A06BF">
        <w:rPr>
          <w:sz w:val="18"/>
          <w:rtl/>
        </w:rPr>
        <w:t>,</w:t>
      </w:r>
      <w:r w:rsidRPr="001A0B66">
        <w:rPr>
          <w:sz w:val="18"/>
          <w:rtl/>
        </w:rPr>
        <w:t xml:space="preserve"> </w:t>
      </w:r>
      <w:r w:rsidRPr="002A06BF">
        <w:rPr>
          <w:sz w:val="18"/>
          <w:rtl/>
        </w:rPr>
        <w:t>שלטון אחד,</w:t>
      </w:r>
      <w:r w:rsidR="002A06BF">
        <w:rPr>
          <w:b/>
          <w:bCs/>
          <w:sz w:val="18"/>
          <w:rtl/>
        </w:rPr>
        <w:t xml:space="preserve"> </w:t>
      </w:r>
      <w:r w:rsidR="002A06BF" w:rsidRPr="002A06BF">
        <w:rPr>
          <w:sz w:val="18"/>
          <w:rtl/>
        </w:rPr>
        <w:t xml:space="preserve">לעיל </w:t>
      </w:r>
      <w:proofErr w:type="spellStart"/>
      <w:r w:rsidR="002A06BF" w:rsidRPr="002A06BF">
        <w:rPr>
          <w:sz w:val="18"/>
          <w:rtl/>
        </w:rPr>
        <w:t>ה"ש</w:t>
      </w:r>
      <w:proofErr w:type="spellEnd"/>
      <w:r w:rsidR="002A06BF" w:rsidRPr="002A06BF">
        <w:rPr>
          <w:sz w:val="18"/>
          <w:rtl/>
        </w:rPr>
        <w:t xml:space="preserve"> 124, בעמ'</w:t>
      </w:r>
      <w:r w:rsidRPr="001A0B66">
        <w:rPr>
          <w:sz w:val="18"/>
          <w:rtl/>
        </w:rPr>
        <w:t xml:space="preserve"> 10–20;</w:t>
      </w:r>
      <w:r w:rsidRPr="001A0B66">
        <w:rPr>
          <w:color w:val="C00000"/>
          <w:sz w:val="18"/>
          <w:rtl/>
        </w:rPr>
        <w:t xml:space="preserve"> </w:t>
      </w:r>
      <w:r w:rsidRPr="001A0B66">
        <w:rPr>
          <w:sz w:val="18"/>
          <w:rtl/>
        </w:rPr>
        <w:fldChar w:fldCharType="begin"/>
      </w:r>
      <w:r w:rsidRPr="001A0B66">
        <w:rPr>
          <w:sz w:val="18"/>
          <w:rtl/>
        </w:rPr>
        <w:instrText xml:space="preserve"> </w:instrText>
      </w:r>
      <w:r w:rsidRPr="001A0B66">
        <w:rPr>
          <w:sz w:val="18"/>
        </w:rPr>
        <w:instrText>ADDIN ZOTERO_ITEM CSL_CITATION {"citationID":"Bk4Faudo","properties":{"formattedCitation":"\\uc0\\u1505{}\\uc0\\u1502{}\\uc0\\u1491{}\\uc0\\u1512{} \\uc0\\u1489{}\\uc0\\u1503{}-\\uc0\\u1504{}\\uc0\\u1514{}\\uc0\\u1503{}, {\\i{}\\uc0\\u1488{}\\uc0\\u1494</w:instrText>
      </w:r>
      <w:r w:rsidRPr="001A0B66">
        <w:rPr>
          <w:sz w:val="18"/>
          <w:rtl/>
        </w:rPr>
        <w:instrText>{}\\</w:instrText>
      </w:r>
      <w:r w:rsidRPr="001A0B66">
        <w:rPr>
          <w:sz w:val="18"/>
        </w:rPr>
        <w:instrText>uc0\\u1512{}\\uc0\\u1495{}\\uc0\\u1497{}\\uc0\\u1501{}-\\uc0\\u1488{}\\uc0\\u1493{}\\uc0\\u1497{}\\uc0\\u1489{}\\uc0\\u1497{}\\uc0\\u1501{}: \\uc0\\u1488{}\\uc0\\u1494{}\\uc0\\u1512{}\\uc0\\u1495{}\\uc0\\u1497{}\\uc0\\u1501{} \\uc0\\u1508{}\\uc0\\u1500</w:instrText>
      </w:r>
      <w:r w:rsidRPr="001A0B66">
        <w:rPr>
          <w:sz w:val="18"/>
          <w:rtl/>
        </w:rPr>
        <w:instrText>{}\\</w:instrText>
      </w:r>
      <w:r w:rsidRPr="001A0B66">
        <w:rPr>
          <w:sz w:val="18"/>
        </w:rPr>
        <w:instrText>uc0\\u1505{}\\uc0\\u1496{}\\uc0\\u1497{}\\uc0\\u1504{}\\uc0\\u1497{}\\uc0\\u1501{} \\uc0\\u1493{}\\uc0\\u1489{}\\uc0\\u1514{}\\uc0\\u1497{} \\uc0\\u1502{}\\uc0\\u1513{}\\uc0\\u1508{}\\uc0\\u1496{} \\uc0\\u1510{}\\uc0\\u1489{}\\uc0\\u1488{}\\uc0\\u1497</w:instrText>
      </w:r>
      <w:r w:rsidRPr="001A0B66">
        <w:rPr>
          <w:sz w:val="18"/>
          <w:rtl/>
        </w:rPr>
        <w:instrText>{}\\</w:instrText>
      </w:r>
      <w:r w:rsidRPr="001A0B66">
        <w:rPr>
          <w:sz w:val="18"/>
        </w:rPr>
        <w:instrText>uc0\\u1497{}\\uc0\\u1501{} \\uc0\\u1489{}\\uc0\\u1497{}\\uc0\\u1513{}\\uc0\\u1512{}\\uc0\\u1488{}\\uc0\\u1500{} \\uc0\\u1493{}\\uc0\\u1489{}\\uc0\\u1513{}\\uc0\\u1496{}\\uc0\\u1495{}\\uc0\\u1497{}\\uc0\\u1501{} 2000-1967}, {\\i{}in} {\\scaps \\uc0\\u1</w:instrText>
      </w:r>
      <w:r w:rsidRPr="001A0B66">
        <w:rPr>
          <w:sz w:val="18"/>
          <w:rtl/>
        </w:rPr>
        <w:instrText>506{}\\</w:instrText>
      </w:r>
      <w:r w:rsidRPr="001A0B66">
        <w:rPr>
          <w:sz w:val="18"/>
        </w:rPr>
        <w:instrText>uc0\\u1497{}\\uc0\\u1493{}\\uc0\\u1504{}\\uc0\\u1497{}\\uc0\\u1501{} \\uc0\\u1495{}\\uc0\\u1491{}\\uc0\\u1513{}\\uc0\\u1497{}\\uc0\\u1501{} \\uc0\\u1489{}\\uc0\\u1495{}\\uc0\\u1511{}\\uc0\\u1512{} \\uc0\\u1492{}\\uc0\\u1502{}\\uc0\\u1510{}\\uc0\\u1</w:instrText>
      </w:r>
      <w:r w:rsidRPr="001A0B66">
        <w:rPr>
          <w:sz w:val="18"/>
          <w:rtl/>
        </w:rPr>
        <w:instrText>497{}\\</w:instrText>
      </w:r>
      <w:r w:rsidRPr="001A0B66">
        <w:rPr>
          <w:sz w:val="18"/>
        </w:rPr>
        <w:instrText>uc0\\u1488{}\\uc0\\u1493{}\\uc0\\u1514{} \\uc0\\u1492{}\\uc0\\u1497{}\\uc0\\u1513{}\\uc0\\u1512{}\\uc0\\u1488{}\\uc0\\u1500{}\\uc0\\u1497{}\\uc0\\u1514{}- \\uc0\\u1508{}\\uc0\\u1500{}\\uc0\\u1505{}\\uc0\\u1496{}\\uc0\\u1497{}\\uc0\\u1504{}\\uc0\\u1</w:instrText>
      </w:r>
      <w:r w:rsidRPr="001A0B66">
        <w:rPr>
          <w:sz w:val="18"/>
          <w:rtl/>
        </w:rPr>
        <w:instrText>497{}\\</w:instrText>
      </w:r>
      <w:r w:rsidRPr="001A0B66">
        <w:rPr>
          <w:sz w:val="18"/>
        </w:rPr>
        <w:instrText>uc0\\u1514</w:instrText>
      </w:r>
      <w:r w:rsidRPr="001A0B66">
        <w:rPr>
          <w:sz w:val="18"/>
          <w:rtl/>
        </w:rPr>
        <w:instrText>{}} (\\</w:instrText>
      </w:r>
      <w:r w:rsidRPr="001A0B66">
        <w:rPr>
          <w:sz w:val="18"/>
        </w:rPr>
        <w:instrText>uc0\\u1488{}\\uc0\\u1502{}\\uc0\\u1500{} \\uc0\\u1490{}\\uc0\\u8217{}\\uc0\\u1502{}\\uc0\\u1488{}\\uc0\\u1500{} ed., 2020).","plainCitation</w:instrText>
      </w:r>
      <w:r w:rsidRPr="001A0B66">
        <w:rPr>
          <w:sz w:val="18"/>
          <w:rtl/>
        </w:rPr>
        <w:instrText xml:space="preserve">":"סמדר בן-נתן, אזרחים-אויבים: אזרחים פלסטינים ובתי משפט צבאיים בישראל ובשטחים 2000-1967, </w:instrText>
      </w:r>
      <w:r w:rsidRPr="001A0B66">
        <w:rPr>
          <w:sz w:val="18"/>
        </w:rPr>
        <w:instrText>in</w:instrText>
      </w:r>
      <w:r w:rsidRPr="001A0B66">
        <w:rPr>
          <w:sz w:val="18"/>
          <w:rtl/>
        </w:rPr>
        <w:instrText xml:space="preserve"> עיונים חדשים בחקר המציאות הישראלית- פלסטינית (אמל ג’מאל </w:instrText>
      </w:r>
      <w:r w:rsidRPr="001A0B66">
        <w:rPr>
          <w:sz w:val="18"/>
        </w:rPr>
        <w:instrText>ed., 2020</w:instrText>
      </w:r>
      <w:r w:rsidRPr="001A0B66">
        <w:rPr>
          <w:sz w:val="18"/>
          <w:rtl/>
        </w:rPr>
        <w:instrText>).","</w:instrText>
      </w:r>
      <w:r w:rsidRPr="001A0B66">
        <w:rPr>
          <w:sz w:val="18"/>
        </w:rPr>
        <w:instrText>dontUpdate":true,"noteIndex":83},"citationItems":[{"id":7,"uris":["http://zotero.org/users/4596729/items/6BLTRT34"],"uri":["http://zotero.org/users/4596729/items/6BLTRT34"],"itemData</w:instrText>
      </w:r>
      <w:r w:rsidRPr="001A0B66">
        <w:rPr>
          <w:sz w:val="18"/>
          <w:rtl/>
        </w:rPr>
        <w:instrText>":{"</w:instrText>
      </w:r>
      <w:r w:rsidRPr="001A0B66">
        <w:rPr>
          <w:sz w:val="18"/>
        </w:rPr>
        <w:instrText>id":7,"type":"chapter","container-title</w:instrText>
      </w:r>
      <w:r w:rsidRPr="001A0B66">
        <w:rPr>
          <w:sz w:val="18"/>
          <w:rtl/>
        </w:rPr>
        <w:instrText>":"הפוליטיקה של הכלה והדרה ביחסי ישראלים ופלסטינים","</w:instrText>
      </w:r>
      <w:r w:rsidRPr="001A0B66">
        <w:rPr>
          <w:sz w:val="18"/>
        </w:rPr>
        <w:instrText>page":"47-78","publisher</w:instrText>
      </w:r>
      <w:r w:rsidRPr="001A0B66">
        <w:rPr>
          <w:sz w:val="18"/>
          <w:rtl/>
        </w:rPr>
        <w:instrText>":"אוניברסיטת תל-אביב","</w:instrText>
      </w:r>
      <w:r w:rsidRPr="001A0B66">
        <w:rPr>
          <w:sz w:val="18"/>
        </w:rPr>
        <w:instrText>title</w:instrText>
      </w:r>
      <w:r w:rsidRPr="001A0B66">
        <w:rPr>
          <w:sz w:val="18"/>
          <w:rtl/>
        </w:rPr>
        <w:instrText>":"אזרחים-אויבים: אזרחים פלסטינים ובתי משפט צבאיים בישראל ובשטחים 2000-1967","</w:instrText>
      </w:r>
      <w:r w:rsidRPr="001A0B66">
        <w:rPr>
          <w:sz w:val="18"/>
        </w:rPr>
        <w:instrText>author":[{"family</w:instrText>
      </w:r>
      <w:r w:rsidRPr="001A0B66">
        <w:rPr>
          <w:sz w:val="18"/>
          <w:rtl/>
        </w:rPr>
        <w:instrText>":"בן-נתן","</w:instrText>
      </w:r>
      <w:r w:rsidRPr="001A0B66">
        <w:rPr>
          <w:sz w:val="18"/>
        </w:rPr>
        <w:instrText>given</w:instrText>
      </w:r>
      <w:r w:rsidRPr="001A0B66">
        <w:rPr>
          <w:sz w:val="18"/>
          <w:rtl/>
        </w:rPr>
        <w:instrText>":"סמדר"}],"</w:instrText>
      </w:r>
      <w:r w:rsidRPr="001A0B66">
        <w:rPr>
          <w:sz w:val="18"/>
        </w:rPr>
        <w:instrText>editor":[{"family</w:instrText>
      </w:r>
      <w:r w:rsidRPr="001A0B66">
        <w:rPr>
          <w:sz w:val="18"/>
          <w:rtl/>
        </w:rPr>
        <w:instrText>":"ג'מאל","</w:instrText>
      </w:r>
      <w:r w:rsidRPr="001A0B66">
        <w:rPr>
          <w:sz w:val="18"/>
        </w:rPr>
        <w:instrText>given</w:instrText>
      </w:r>
      <w:r w:rsidRPr="001A0B66">
        <w:rPr>
          <w:sz w:val="18"/>
          <w:rtl/>
        </w:rPr>
        <w:instrText>":"אמל"}],"</w:instrText>
      </w:r>
      <w:r w:rsidRPr="001A0B66">
        <w:rPr>
          <w:sz w:val="18"/>
        </w:rPr>
        <w:instrText>issued":{"date-parts":[["2020"]]}}}],"schema":"https://github.com/citation-style-language/schema/raw/master/csl-citation.json</w:instrText>
      </w:r>
      <w:r w:rsidRPr="001A0B66">
        <w:rPr>
          <w:sz w:val="18"/>
          <w:rtl/>
        </w:rPr>
        <w:instrText xml:space="preserve">"} </w:instrText>
      </w:r>
      <w:r w:rsidRPr="001A0B66">
        <w:rPr>
          <w:sz w:val="18"/>
          <w:rtl/>
        </w:rPr>
        <w:fldChar w:fldCharType="separate"/>
      </w:r>
      <w:r w:rsidRPr="001A0B66">
        <w:rPr>
          <w:sz w:val="18"/>
          <w:rtl/>
        </w:rPr>
        <w:t>סמדר בן-נתן "אזרחים-אויבים: אזרחים פלסטינים ובתי משפט צבאיים בישראל ובשטחים 2000-1967"</w:t>
      </w:r>
      <w:r w:rsidRPr="001A0B66">
        <w:rPr>
          <w:sz w:val="18"/>
        </w:rPr>
        <w:t xml:space="preserve"> </w:t>
      </w:r>
      <w:r w:rsidRPr="001A0B66">
        <w:rPr>
          <w:b/>
          <w:bCs/>
          <w:sz w:val="18"/>
          <w:rtl/>
        </w:rPr>
        <w:t>הפוליטיקה של הכלה והדרה ביחסי ישראלים ופלסטינים</w:t>
      </w:r>
      <w:r w:rsidRPr="001A0B66">
        <w:rPr>
          <w:smallCaps/>
          <w:sz w:val="18"/>
          <w:rtl/>
        </w:rPr>
        <w:t xml:space="preserve"> </w:t>
      </w:r>
      <w:r w:rsidRPr="001A0B66">
        <w:rPr>
          <w:sz w:val="18"/>
          <w:rtl/>
        </w:rPr>
        <w:t>47</w:t>
      </w:r>
      <w:r w:rsidRPr="001A0B66">
        <w:rPr>
          <w:smallCaps/>
          <w:sz w:val="18"/>
          <w:rtl/>
        </w:rPr>
        <w:t xml:space="preserve"> (</w:t>
      </w:r>
      <w:proofErr w:type="spellStart"/>
      <w:r w:rsidRPr="001A0B66">
        <w:rPr>
          <w:sz w:val="18"/>
          <w:rtl/>
        </w:rPr>
        <w:t>אמל</w:t>
      </w:r>
      <w:proofErr w:type="spellEnd"/>
      <w:r w:rsidRPr="001A0B66">
        <w:rPr>
          <w:sz w:val="18"/>
          <w:rtl/>
        </w:rPr>
        <w:t xml:space="preserve"> ג'מאל עורך</w:t>
      </w:r>
      <w:r w:rsidRPr="001A0B66">
        <w:rPr>
          <w:sz w:val="18"/>
          <w:rtl/>
        </w:rPr>
        <w:fldChar w:fldCharType="end"/>
      </w:r>
      <w:r w:rsidRPr="001A0B66">
        <w:rPr>
          <w:sz w:val="18"/>
          <w:rtl/>
        </w:rPr>
        <w:t xml:space="preserve">, 2020). </w:t>
      </w:r>
    </w:p>
  </w:footnote>
  <w:footnote w:id="134">
    <w:p w14:paraId="19D6F56E"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מאמרם של מן ווינר, לעיל </w:t>
      </w:r>
      <w:proofErr w:type="spellStart"/>
      <w:r w:rsidRPr="001A0B66">
        <w:rPr>
          <w:sz w:val="18"/>
          <w:rtl/>
        </w:rPr>
        <w:t>ה"ש</w:t>
      </w:r>
      <w:proofErr w:type="spellEnd"/>
      <w:r w:rsidRPr="001A0B66">
        <w:rPr>
          <w:sz w:val="18"/>
          <w:rtl/>
        </w:rPr>
        <w:t xml:space="preserve"> </w:t>
      </w:r>
      <w:r w:rsidR="002A06BF">
        <w:rPr>
          <w:sz w:val="18"/>
          <w:rtl/>
        </w:rPr>
        <w:t>96</w:t>
      </w:r>
      <w:r w:rsidRPr="001A0B66">
        <w:rPr>
          <w:sz w:val="18"/>
          <w:rtl/>
        </w:rPr>
        <w:t>, מדגים את התרומה של עורכי דין ציבוריים לייצוג חשודים בטרור בישראל.</w:t>
      </w:r>
    </w:p>
  </w:footnote>
  <w:footnote w:id="135">
    <w:p w14:paraId="669242D9"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סעיף 77 לצו בדבר הוראת ביטחון [נוסח משולב] (יהודה והשומרון) (מס' 1651), תש"ע-2009, </w:t>
      </w:r>
      <w:hyperlink r:id="rId11" w:history="1">
        <w:r w:rsidRPr="001A0B66">
          <w:rPr>
            <w:rStyle w:val="Hyperlink"/>
            <w:rFonts w:cs="David"/>
            <w:sz w:val="18"/>
            <w:rtl/>
          </w:rPr>
          <w:t>קובץ מנשרים מס' 234</w:t>
        </w:r>
      </w:hyperlink>
      <w:r w:rsidRPr="001A0B66">
        <w:rPr>
          <w:sz w:val="18"/>
          <w:rtl/>
        </w:rPr>
        <w:t>, דצמבר 2009, עמ' 5902.</w:t>
      </w:r>
    </w:p>
  </w:footnote>
  <w:footnote w:id="136">
    <w:p w14:paraId="141B7295" w14:textId="77777777" w:rsidR="0019600D" w:rsidRDefault="0091227C" w:rsidP="00E157D9">
      <w:pPr>
        <w:pStyle w:val="FootnoteText"/>
        <w:spacing w:after="60"/>
      </w:pPr>
      <w:r w:rsidRPr="001A0B66">
        <w:rPr>
          <w:rStyle w:val="FootnoteReference"/>
          <w:rFonts w:cs="David"/>
          <w:sz w:val="18"/>
        </w:rPr>
        <w:footnoteRef/>
      </w:r>
      <w:r w:rsidRPr="001A0B66">
        <w:rPr>
          <w:rStyle w:val="FootnoteReference"/>
          <w:rFonts w:cs="David"/>
          <w:sz w:val="18"/>
          <w:rtl/>
        </w:rPr>
        <w:tab/>
      </w:r>
      <w:r w:rsidRPr="001A0B66">
        <w:rPr>
          <w:sz w:val="18"/>
          <w:rtl/>
        </w:rPr>
        <w:t xml:space="preserve">האפשרות להחיל את הסדר הפרקליט המיוחד בשטחים הועלתה בעבר דווקא על ידי שופטים צבאיים, שאף הם חשים שלא בנוח להסתמך על ראיות חסויות; ראו </w:t>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002A06BF">
        <w:rPr>
          <w:sz w:val="18"/>
          <w:rtl/>
        </w:rPr>
        <w:t>20</w:t>
      </w:r>
      <w:r w:rsidRPr="001A0B66">
        <w:rPr>
          <w:sz w:val="18"/>
          <w:rtl/>
        </w:rPr>
        <w:t xml:space="preserve">, </w:t>
      </w:r>
      <w:proofErr w:type="spellStart"/>
      <w:r w:rsidRPr="001A0B66">
        <w:rPr>
          <w:sz w:val="18"/>
          <w:rtl/>
        </w:rPr>
        <w:t>ופרייז</w:t>
      </w:r>
      <w:proofErr w:type="spellEnd"/>
      <w:r w:rsidRPr="001A0B66">
        <w:rPr>
          <w:sz w:val="18"/>
          <w:rtl/>
        </w:rPr>
        <w:t xml:space="preserve"> ונון, </w:t>
      </w:r>
      <w:proofErr w:type="spellStart"/>
      <w:r w:rsidRPr="001A0B66">
        <w:rPr>
          <w:sz w:val="18"/>
          <w:rtl/>
        </w:rPr>
        <w:t>ה"ש</w:t>
      </w:r>
      <w:proofErr w:type="spellEnd"/>
      <w:r w:rsidRPr="001A0B66">
        <w:rPr>
          <w:sz w:val="18"/>
          <w:rtl/>
        </w:rPr>
        <w:t xml:space="preserve"> 7 (ארבעת המחברים הם שופטים צבאיים בהווה או שימשו בתפקיד בעבר). </w:t>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תומכים בהחלת הסדר של פרקליט מיוחד בשטחים. </w:t>
      </w:r>
      <w:proofErr w:type="spellStart"/>
      <w:r w:rsidRPr="001A0B66">
        <w:rPr>
          <w:sz w:val="18"/>
          <w:rtl/>
        </w:rPr>
        <w:t>פרייז</w:t>
      </w:r>
      <w:proofErr w:type="spellEnd"/>
      <w:r w:rsidRPr="001A0B66">
        <w:rPr>
          <w:sz w:val="18"/>
          <w:rtl/>
        </w:rPr>
        <w:t xml:space="preserve"> ונון דנים בכך, ובסופו של דבר מציעים שלא להחיל הסדר כזה בשטחים בשל הסיכוי לדליפת מידע חסוי. </w:t>
      </w:r>
    </w:p>
  </w:footnote>
  <w:footnote w:id="137">
    <w:p w14:paraId="7C076B7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שם, מעלים גם הם את האפשרות לשימוש בפרקליטים צבאיים עמ' 62, 87, 90–91. </w:t>
      </w:r>
      <w:proofErr w:type="spellStart"/>
      <w:r w:rsidRPr="001A0B66">
        <w:rPr>
          <w:sz w:val="18"/>
          <w:rtl/>
        </w:rPr>
        <w:t>פרייז</w:t>
      </w:r>
      <w:proofErr w:type="spellEnd"/>
      <w:r w:rsidRPr="001A0B66">
        <w:rPr>
          <w:sz w:val="18"/>
          <w:rtl/>
        </w:rPr>
        <w:t xml:space="preserve"> ונון, שם, דנים בייצוג באמצעות הסנגוריה הציבורית ומציעים התמודדות עם קשיים דומים של אמון ותפקוד (125–128); ואולם סמכות הסנגוריה הציבורית אינה חלה בשטחים.</w:t>
      </w:r>
    </w:p>
  </w:footnote>
  <w:footnote w:id="138">
    <w:p w14:paraId="43B2639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בן-נתן, בתי המשפט הצבאיים, לעיל </w:t>
      </w:r>
      <w:proofErr w:type="spellStart"/>
      <w:r w:rsidRPr="001A0B66">
        <w:rPr>
          <w:sz w:val="18"/>
          <w:rtl/>
        </w:rPr>
        <w:t>ה"ש</w:t>
      </w:r>
      <w:proofErr w:type="spellEnd"/>
      <w:r w:rsidRPr="001A0B66">
        <w:rPr>
          <w:sz w:val="18"/>
          <w:rtl/>
        </w:rPr>
        <w:t xml:space="preserve"> </w:t>
      </w:r>
      <w:r w:rsidR="00294C14">
        <w:rPr>
          <w:sz w:val="18"/>
          <w:rtl/>
        </w:rPr>
        <w:t>119</w:t>
      </w:r>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ADDIN ZOTERO_ITEM CSL_CITATION {"citationID":"8agA0D91","properties":{"formattedCitation":"Neta Ziv, {\\i{}Navigating the Judicial Terrain Under Israeli Occupation: Palestinian and Israeli Lawyers in Military Courts}, 42 {\\scaps Fordham International Law Journal} 729 (2018).","plainCitation":"Neta Ziv, Navigating the Judicial Terrain Under Israeli Occupation: Palestinian and Israeli Lawyers in Military Courts, 42 Fordham International Law Journal 729 (2018).","noteIndex":86},"citationItems":[{"id":421</w:instrText>
      </w:r>
      <w:r w:rsidRPr="001A0B66">
        <w:rPr>
          <w:sz w:val="18"/>
          <w:rtl/>
        </w:rPr>
        <w:instrText>,"</w:instrText>
      </w:r>
      <w:r w:rsidRPr="001A0B66">
        <w:rPr>
          <w:sz w:val="18"/>
        </w:rPr>
        <w:instrText>uris":["http://zotero.org/users/4596729/items/NMN4WB9S"],"uri":["http://zotero.org/users/4596729/items/NMN4WB9S"],"itemData":{"id":421,"type":"article-journal","container-title":"Fordham International Law Journal","issue":"2","page":"729","title":"Navigating the Judicial Terrain Under Israeli Occupation: Palestinian and Israeli Lawyers in Military Courts","volume":"42","author":[{"family":"Ziv","given":"Neta"}],"issued":{"date-parts</w:instrText>
      </w:r>
      <w:r w:rsidRPr="001A0B66">
        <w:rPr>
          <w:sz w:val="18"/>
          <w:rtl/>
        </w:rPr>
        <w:instrText>":[["2018"]]</w:instrText>
      </w:r>
      <w:r w:rsidRPr="001A0B66">
        <w:rPr>
          <w:sz w:val="18"/>
        </w:rPr>
        <w:instrText>}}}],"schema":"https://github.com/citation-style-language/schema/raw/master/csl-citation.json</w:instrText>
      </w:r>
      <w:r w:rsidRPr="001A0B66">
        <w:rPr>
          <w:sz w:val="18"/>
          <w:rtl/>
        </w:rPr>
        <w:instrText xml:space="preserve">"} </w:instrText>
      </w:r>
      <w:r w:rsidRPr="001A0B66">
        <w:rPr>
          <w:sz w:val="18"/>
          <w:rtl/>
        </w:rPr>
        <w:fldChar w:fldCharType="separate"/>
      </w:r>
      <w:r w:rsidRPr="001A0B66">
        <w:rPr>
          <w:sz w:val="18"/>
          <w:szCs w:val="24"/>
        </w:rPr>
        <w:t xml:space="preserve">Neta Ziv, </w:t>
      </w:r>
      <w:r w:rsidRPr="001A0B66">
        <w:rPr>
          <w:i/>
          <w:iCs/>
          <w:sz w:val="18"/>
          <w:szCs w:val="24"/>
        </w:rPr>
        <w:t>Navigating the Judicial Terrain Under Israeli Occupation: Palestinian and Israeli Lawyers in Military Courts</w:t>
      </w:r>
      <w:r w:rsidRPr="001A0B66">
        <w:rPr>
          <w:sz w:val="18"/>
          <w:szCs w:val="24"/>
        </w:rPr>
        <w:t xml:space="preserve">, 42 </w:t>
      </w:r>
      <w:r w:rsidRPr="001A0B66">
        <w:rPr>
          <w:smallCaps/>
          <w:sz w:val="18"/>
          <w:szCs w:val="24"/>
        </w:rPr>
        <w:t>Fordham Int'l L. J</w:t>
      </w:r>
      <w:r w:rsidRPr="001A0B66">
        <w:rPr>
          <w:sz w:val="18"/>
          <w:szCs w:val="24"/>
        </w:rPr>
        <w:t>. 729 (2018)</w:t>
      </w:r>
      <w:r w:rsidRPr="001A0B66">
        <w:rPr>
          <w:sz w:val="18"/>
          <w:rtl/>
        </w:rPr>
        <w:fldChar w:fldCharType="end"/>
      </w:r>
      <w:r w:rsidRPr="001A0B66">
        <w:rPr>
          <w:sz w:val="18"/>
          <w:rtl/>
        </w:rPr>
        <w:t xml:space="preserve"> (להלן: זיו).</w:t>
      </w:r>
    </w:p>
  </w:footnote>
  <w:footnote w:id="139">
    <w:p w14:paraId="2DA3438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בן-נתן, בתי המשפט הצבאיים, לעיל </w:t>
      </w:r>
      <w:proofErr w:type="spellStart"/>
      <w:r w:rsidRPr="001A0B66">
        <w:rPr>
          <w:sz w:val="18"/>
          <w:rtl/>
        </w:rPr>
        <w:t>ה"ש</w:t>
      </w:r>
      <w:proofErr w:type="spellEnd"/>
      <w:r w:rsidR="00294C14">
        <w:rPr>
          <w:sz w:val="18"/>
          <w:rtl/>
        </w:rPr>
        <w:t xml:space="preserve"> 119</w:t>
      </w:r>
      <w:r w:rsidRPr="001A0B66">
        <w:rPr>
          <w:sz w:val="18"/>
          <w:rtl/>
        </w:rPr>
        <w:t xml:space="preserve">; זיו, שם. </w:t>
      </w:r>
    </w:p>
  </w:footnote>
  <w:footnote w:id="140">
    <w:p w14:paraId="6B62DB0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בדו"חות הפעילות השנתיים של הפרקליטות הצבאית, המתארים את פעילותה, נכלל תיאור פעולתן של התביעה הצבאית, האחראית על הגשת כתבי אישום וניהול התביעה, ושל הסנגוריה הצבאית, המספקת הגנה משפטית לחיילים ולקצינים הנאשמים: "התביעה הצבאית" </w:t>
      </w:r>
      <w:r w:rsidRPr="001A0B66">
        <w:rPr>
          <w:b/>
          <w:bCs/>
          <w:sz w:val="18"/>
          <w:rtl/>
        </w:rPr>
        <w:t>אתר הפרקליטות הצבאית</w:t>
      </w:r>
      <w:r w:rsidRPr="001A0B66">
        <w:rPr>
          <w:sz w:val="18"/>
          <w:rtl/>
        </w:rPr>
        <w:t xml:space="preserve"> </w:t>
      </w:r>
      <w:hyperlink r:id="rId12" w:history="1">
        <w:r w:rsidRPr="001A0B66">
          <w:rPr>
            <w:rStyle w:val="Hyperlink"/>
            <w:rFonts w:cs="David"/>
            <w:sz w:val="18"/>
            <w:rtl/>
          </w:rPr>
          <w:t>אתרים/הפרקליטות-הצבאית/התביעה-הצבאית</w:t>
        </w:r>
        <w:r w:rsidRPr="001A0B66">
          <w:rPr>
            <w:rStyle w:val="Hyperlink"/>
            <w:rFonts w:cs="David"/>
            <w:sz w:val="18"/>
          </w:rPr>
          <w:t>www.idf.il/</w:t>
        </w:r>
      </w:hyperlink>
      <w:r w:rsidRPr="001A0B66">
        <w:rPr>
          <w:sz w:val="18"/>
          <w:rtl/>
        </w:rPr>
        <w:t xml:space="preserve">; "הסניגוריה הצבאית" </w:t>
      </w:r>
      <w:r w:rsidRPr="001A0B66">
        <w:rPr>
          <w:b/>
          <w:bCs/>
          <w:sz w:val="18"/>
          <w:rtl/>
        </w:rPr>
        <w:t>אתר הפרקליטות הצבאית</w:t>
      </w:r>
      <w:r w:rsidRPr="001A0B66">
        <w:rPr>
          <w:sz w:val="18"/>
          <w:rtl/>
        </w:rPr>
        <w:t xml:space="preserve"> </w:t>
      </w:r>
      <w:hyperlink r:id="rId13" w:history="1">
        <w:r w:rsidRPr="001A0B66">
          <w:rPr>
            <w:rStyle w:val="Hyperlink"/>
            <w:rFonts w:cs="David"/>
            <w:sz w:val="18"/>
            <w:rtl/>
          </w:rPr>
          <w:t>אתרים/הפרקליטות-הצבאית/הסנגוריה-הצבאית</w:t>
        </w:r>
        <w:r w:rsidRPr="001A0B66">
          <w:rPr>
            <w:rStyle w:val="Hyperlink"/>
            <w:rFonts w:cs="David"/>
            <w:sz w:val="18"/>
          </w:rPr>
          <w:t>www.idf.il/</w:t>
        </w:r>
      </w:hyperlink>
      <w:r w:rsidRPr="001A0B66">
        <w:rPr>
          <w:sz w:val="18"/>
          <w:u w:val="single"/>
          <w:rtl/>
        </w:rPr>
        <w:t xml:space="preserve">. </w:t>
      </w:r>
      <w:r w:rsidRPr="001A0B66">
        <w:rPr>
          <w:sz w:val="18"/>
          <w:rtl/>
        </w:rPr>
        <w:t xml:space="preserve">וראו גם מן ווינר, לעיל </w:t>
      </w:r>
      <w:proofErr w:type="spellStart"/>
      <w:r w:rsidRPr="001A0B66">
        <w:rPr>
          <w:sz w:val="18"/>
          <w:rtl/>
        </w:rPr>
        <w:t>ה"ש</w:t>
      </w:r>
      <w:proofErr w:type="spellEnd"/>
      <w:r w:rsidRPr="001A0B66">
        <w:rPr>
          <w:sz w:val="18"/>
          <w:rtl/>
        </w:rPr>
        <w:t xml:space="preserve"> </w:t>
      </w:r>
      <w:r w:rsidR="00F4458E">
        <w:rPr>
          <w:sz w:val="18"/>
          <w:rtl/>
        </w:rPr>
        <w:t>96</w:t>
      </w:r>
      <w:r w:rsidRPr="001A0B66">
        <w:rPr>
          <w:sz w:val="18"/>
          <w:rtl/>
        </w:rPr>
        <w:t>.</w:t>
      </w:r>
    </w:p>
  </w:footnote>
  <w:footnote w:id="141">
    <w:p w14:paraId="4A786EF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הרמלין,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Ref53032646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002A06BF">
        <w:rPr>
          <w:sz w:val="18"/>
          <w:rtl/>
        </w:rPr>
        <w:t>9</w:t>
      </w:r>
      <w:r w:rsidRPr="001A0B66">
        <w:rPr>
          <w:sz w:val="18"/>
          <w:rtl/>
        </w:rPr>
        <w:t>9</w:t>
      </w:r>
      <w:r w:rsidRPr="001A0B66">
        <w:rPr>
          <w:sz w:val="18"/>
          <w:rtl/>
        </w:rPr>
        <w:fldChar w:fldCharType="end"/>
      </w:r>
      <w:r w:rsidRPr="001A0B66">
        <w:rPr>
          <w:sz w:val="18"/>
          <w:rtl/>
        </w:rPr>
        <w:t xml:space="preserve">; בן-נתן, לעיל, </w:t>
      </w:r>
      <w:proofErr w:type="spellStart"/>
      <w:r w:rsidRPr="001A0B66">
        <w:rPr>
          <w:sz w:val="18"/>
          <w:rtl/>
        </w:rPr>
        <w:t>ה"ש</w:t>
      </w:r>
      <w:proofErr w:type="spellEnd"/>
      <w:r w:rsidRPr="001A0B66">
        <w:rPr>
          <w:sz w:val="18"/>
          <w:rtl/>
        </w:rPr>
        <w:t xml:space="preserve"> </w:t>
      </w:r>
      <w:r w:rsidR="002A06BF">
        <w:rPr>
          <w:sz w:val="18"/>
          <w:rtl/>
        </w:rPr>
        <w:t>99</w:t>
      </w:r>
      <w:r w:rsidRPr="001A0B66">
        <w:rPr>
          <w:sz w:val="18"/>
          <w:rtl/>
        </w:rPr>
        <w:t xml:space="preserve">; וכן המקורות </w:t>
      </w:r>
      <w:r w:rsidRPr="00F4458E">
        <w:rPr>
          <w:sz w:val="18"/>
          <w:rtl/>
        </w:rPr>
        <w:t xml:space="preserve">שלהלן </w:t>
      </w:r>
      <w:proofErr w:type="spellStart"/>
      <w:r w:rsidRPr="00F4458E">
        <w:rPr>
          <w:sz w:val="18"/>
          <w:rtl/>
        </w:rPr>
        <w:t>בה"ש</w:t>
      </w:r>
      <w:proofErr w:type="spellEnd"/>
      <w:r w:rsidRPr="00F4458E">
        <w:rPr>
          <w:sz w:val="18"/>
          <w:rtl/>
        </w:rPr>
        <w:t xml:space="preserve"> </w:t>
      </w:r>
      <w:r w:rsidR="007B3E1B" w:rsidRPr="00F4458E">
        <w:rPr>
          <w:sz w:val="18"/>
          <w:rtl/>
        </w:rPr>
        <w:t>146</w:t>
      </w:r>
      <w:r w:rsidRPr="00F4458E">
        <w:rPr>
          <w:sz w:val="18"/>
          <w:rtl/>
        </w:rPr>
        <w:t>.</w:t>
      </w:r>
      <w:r w:rsidRPr="001A0B66">
        <w:rPr>
          <w:sz w:val="18"/>
          <w:rtl/>
        </w:rPr>
        <w:t xml:space="preserve"> </w:t>
      </w:r>
    </w:p>
  </w:footnote>
  <w:footnote w:id="142">
    <w:p w14:paraId="09468740"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בנישו</w:t>
      </w:r>
      <w:proofErr w:type="spellEnd"/>
      <w:r w:rsidRPr="001A0B66">
        <w:rPr>
          <w:sz w:val="18"/>
          <w:rtl/>
        </w:rPr>
        <w:t xml:space="preserve"> </w:t>
      </w:r>
      <w:proofErr w:type="spellStart"/>
      <w:r w:rsidRPr="001A0B66">
        <w:rPr>
          <w:sz w:val="18"/>
          <w:rtl/>
        </w:rPr>
        <w:t>וויגיסר</w:t>
      </w:r>
      <w:proofErr w:type="spellEnd"/>
      <w:r w:rsidRPr="001A0B66">
        <w:rPr>
          <w:sz w:val="18"/>
          <w:rtl/>
        </w:rPr>
        <w:t xml:space="preserve">, לעיל </w:t>
      </w:r>
      <w:proofErr w:type="spellStart"/>
      <w:r w:rsidRPr="001A0B66">
        <w:rPr>
          <w:sz w:val="18"/>
          <w:rtl/>
        </w:rPr>
        <w:t>ה"ש</w:t>
      </w:r>
      <w:proofErr w:type="spellEnd"/>
      <w:r w:rsidR="00294C14">
        <w:rPr>
          <w:sz w:val="18"/>
          <w:rtl/>
        </w:rPr>
        <w:t xml:space="preserve"> 20</w:t>
      </w:r>
      <w:r w:rsidRPr="001A0B66">
        <w:rPr>
          <w:sz w:val="18"/>
          <w:rtl/>
        </w:rPr>
        <w:t xml:space="preserve">, בעמ' 87. </w:t>
      </w:r>
    </w:p>
  </w:footnote>
  <w:footnote w:id="143">
    <w:p w14:paraId="71BF6396"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מן ווינר, לעיל </w:t>
      </w:r>
      <w:proofErr w:type="spellStart"/>
      <w:r w:rsidRPr="001A0B66">
        <w:rPr>
          <w:sz w:val="18"/>
          <w:rtl/>
        </w:rPr>
        <w:t>ה"ש</w:t>
      </w:r>
      <w:proofErr w:type="spellEnd"/>
      <w:r w:rsidRPr="001A0B66">
        <w:rPr>
          <w:sz w:val="18"/>
          <w:rtl/>
        </w:rPr>
        <w:t xml:space="preserve"> </w:t>
      </w:r>
      <w:r w:rsidR="002A06BF">
        <w:rPr>
          <w:sz w:val="18"/>
          <w:rtl/>
        </w:rPr>
        <w:t>96</w:t>
      </w:r>
      <w:r w:rsidRPr="001A0B66">
        <w:rPr>
          <w:sz w:val="18"/>
          <w:rtl/>
        </w:rPr>
        <w:t xml:space="preserve">, בעמ' 111-108. </w:t>
      </w:r>
    </w:p>
  </w:footnote>
  <w:footnote w:id="144">
    <w:p w14:paraId="565C5A51"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fldChar w:fldCharType="begin"/>
      </w:r>
      <w:r w:rsidRPr="001A0B66">
        <w:rPr>
          <w:sz w:val="18"/>
          <w:rtl/>
        </w:rPr>
        <w:instrText xml:space="preserve"> ADDIN ZOTERO_ITEM CSL_CITATION {"citationID":"jtd2QSPB","properties":{"formattedCitation":"\\uc0\\u1497{}\\uc0\\u1493{}\\uc0\\u1488{}\\uc0\\u1489{} \\uc0\\u1505{}\\uc0\\u1508{}\\uc0\\u1497{}\\uc0\\u1512{}, {\\i{}\\uc0\\u1492{}\\uc0\\u1490{}\\uc0\\u1504{}\\uc0\\u1492{} \\uc0\\u1512{}\\uc0\\u1488{}\\uc0\\u1493{}\\uc0\\u1497{}\\uc0\\u1492{} \\uc0\\u1506{}\\uc0\\u1500{} \\uc0\\u8220{}\\uc0\\u1488{}\\uc0\\u1504{}\\uc0\\u1513{}\\uc0\\u1497{}\\uc0\\u1501{} \\uc0\\u1500{}\\uc0\\u1488{}-\\uc0\\u1504{}\\uc0\\u1495{}\\uc0\\u1502{}\\uc0\\u1491{}\\uc0\\u1497{}\\uc0\\u1501{}\\uc0\\u8221{}: \\uc0\\u1492{}\\uc0\\u1506{}\\uc0\\u1512{}\\uc0\\u1493{}\\uc0\\u1514{} \\uc0\\u1506{}\\uc0\\u1500{} \\uc0\\u1502{}\\uc0\\u1490{}\\uc0\\u1497{}\\uc0\\u1500{}\\uc0\\u1514{} \\uc0\\u1492{}\\uc0\\u1494{}\\uc0\\u1499{}\\uc0\\u1493{}\\uc0\\u1497{}\\uc0\\u1493{}\\uc0\\u1514{} \\uc0\\u1492{}\\uc0\\u1512{}\\uc0\\u1494{}\\uc0\\u1492{} \\uc0\\u1513{}\\uc0\\u1489{}\\uc0\\u1492{}\\uc0\\u1510{}\\uc0\\u1506{}\\uc0\\u1514{} \\uc0\\u1492{}\\uc0\\u1495{}\\uc0\\u1493{}\\uc0\\u1511{}\\uc0\\u1492{}}, 10 {\\scaps \\uc0\\u1502{}\\uc0\\u1513{}\\uc0\\u1508{}\\uc0\\u1496{} \\uc0\\u1493{}\\uc0\\u1502{}\\uc0\\u1502{}\\uc0\\u1513{}\\uc0\\u1500{}} 572\\uc0\\u8211{}591 (2007).","plainCitation":"יואב ספיר, הגנה ראויה על “אנשים לא-נחמדים”: הערות על מגילת הזכויות הרזה שבהצעת החוקה, 10 משפט וממשל 572–591 (2007).","dontUpdate":true,"noteIndex":91},"citationItems":[{"id":10,"uris":["http://zotero.org/users/4596729/items/5TVIRJK9"],"uri":["http://zotero.org/users/4596729/items/5TVIRJK9"],"itemData":{"id":10,"type":"article-journal","container-title":"משפט וממשל","issue":"2","page":"572-591","title":"הגנה ראויה על \"אנשים לא-נחמדים\": הערות על מגילת הזכויות הרזה שבהצעת החוקה","volume":"10","author":[{"family":"ספיר","given":"יואב"}],"issued":{"date-parts":[["2007"]]}}}],"schema":"https://github.com/citation-style-language/schema/raw/master/csl-citation.json"} </w:instrText>
      </w:r>
      <w:r w:rsidRPr="001A0B66">
        <w:rPr>
          <w:sz w:val="18"/>
          <w:rtl/>
        </w:rPr>
        <w:fldChar w:fldCharType="separate"/>
      </w:r>
      <w:r w:rsidRPr="001A0B66">
        <w:rPr>
          <w:sz w:val="18"/>
          <w:rtl/>
        </w:rPr>
        <w:t xml:space="preserve">יואב ספיר "הגנה ראויה על 'אנשים לא-נחמדים': הערות על מגילת הזכויות הרזה שבהצעת החוקה" </w:t>
      </w:r>
      <w:r w:rsidRPr="001A0B66">
        <w:rPr>
          <w:b/>
          <w:bCs/>
          <w:smallCaps/>
          <w:sz w:val="18"/>
          <w:rtl/>
        </w:rPr>
        <w:t>משפט וממשל</w:t>
      </w:r>
      <w:r w:rsidRPr="001A0B66">
        <w:rPr>
          <w:sz w:val="18"/>
          <w:rtl/>
        </w:rPr>
        <w:t xml:space="preserve"> 10, 572 (2007)</w:t>
      </w:r>
      <w:r w:rsidRPr="001A0B66">
        <w:rPr>
          <w:sz w:val="18"/>
          <w:rtl/>
        </w:rPr>
        <w:fldChar w:fldCharType="end"/>
      </w:r>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ADDIN ZOTERO_ITEM CSL_CITATION {"citationID":"1vbt4kVt","properties":{"formattedCitation":"David Luban, {\\i{}Are Criminal Defenders Different?}, 91 {\\scaps Michigan Law Review} 1729 (1993).","plainCitation":"David Luban, Are Criminal Defenders Different?, 91 Michigan Law Review 1729 (1993).","dontUpdate":true,"noteIndex":91},"citationItems":[{"id":12,"uris":["http://zotero.org/users/4596729/items/NVFPGUYP"],"uri":["http://zotero.org/users/4596729/items/NVFPGUYP"],"itemData":{"id":12,"type":"article-journal","container-title":"Michigan Law Review","page":"1729","title":"Are Criminal Defenders Different?","volume":"91","author":[{"family":"Luban","given":"David"}],"issued":{"date-parts</w:instrText>
      </w:r>
      <w:r w:rsidRPr="001A0B66">
        <w:rPr>
          <w:sz w:val="18"/>
          <w:rtl/>
        </w:rPr>
        <w:instrText>":[["1993"]]</w:instrText>
      </w:r>
      <w:r w:rsidRPr="001A0B66">
        <w:rPr>
          <w:sz w:val="18"/>
        </w:rPr>
        <w:instrText>}}}],"schema":"https://github.com/citation-style-language</w:instrText>
      </w:r>
      <w:r w:rsidRPr="001A0B66">
        <w:rPr>
          <w:sz w:val="18"/>
          <w:rtl/>
        </w:rPr>
        <w:instrText>/</w:instrText>
      </w:r>
      <w:r w:rsidRPr="001A0B66">
        <w:rPr>
          <w:sz w:val="18"/>
        </w:rPr>
        <w:instrText>schema/raw/master/csl-citation.json</w:instrText>
      </w:r>
      <w:r w:rsidRPr="001A0B66">
        <w:rPr>
          <w:sz w:val="18"/>
          <w:rtl/>
        </w:rPr>
        <w:instrText xml:space="preserve">"} </w:instrText>
      </w:r>
      <w:r w:rsidRPr="001A0B66">
        <w:rPr>
          <w:sz w:val="18"/>
          <w:rtl/>
        </w:rPr>
        <w:fldChar w:fldCharType="separate"/>
      </w:r>
      <w:r w:rsidRPr="001A0B66">
        <w:rPr>
          <w:sz w:val="18"/>
        </w:rPr>
        <w:t xml:space="preserve">David </w:t>
      </w:r>
      <w:proofErr w:type="spellStart"/>
      <w:r w:rsidRPr="001A0B66">
        <w:rPr>
          <w:sz w:val="18"/>
        </w:rPr>
        <w:t>Luban</w:t>
      </w:r>
      <w:proofErr w:type="spellEnd"/>
      <w:r w:rsidRPr="001A0B66">
        <w:rPr>
          <w:sz w:val="18"/>
        </w:rPr>
        <w:t xml:space="preserve">, </w:t>
      </w:r>
      <w:r w:rsidRPr="001A0B66">
        <w:rPr>
          <w:i/>
          <w:iCs/>
          <w:sz w:val="18"/>
        </w:rPr>
        <w:t>Are Criminal Defenders Different?</w:t>
      </w:r>
      <w:r w:rsidRPr="001A0B66">
        <w:rPr>
          <w:sz w:val="18"/>
        </w:rPr>
        <w:t xml:space="preserve"> 91 </w:t>
      </w:r>
      <w:r w:rsidRPr="001A0B66">
        <w:rPr>
          <w:smallCaps/>
          <w:sz w:val="18"/>
        </w:rPr>
        <w:t>Mich. L. Rev</w:t>
      </w:r>
      <w:r w:rsidRPr="001A0B66">
        <w:rPr>
          <w:sz w:val="18"/>
        </w:rPr>
        <w:t>. 1729 (1993)</w:t>
      </w:r>
      <w:r w:rsidRPr="001A0B66">
        <w:rPr>
          <w:sz w:val="18"/>
          <w:rtl/>
        </w:rPr>
        <w:fldChar w:fldCharType="end"/>
      </w:r>
      <w:r w:rsidRPr="001A0B66">
        <w:rPr>
          <w:sz w:val="18"/>
          <w:rtl/>
        </w:rPr>
        <w:t xml:space="preserve">. </w:t>
      </w:r>
    </w:p>
  </w:footnote>
  <w:footnote w:id="145">
    <w:p w14:paraId="3001B3C3"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בהליכים בבתי הדין הצבאיים וכן בבית המשפט העליון בנושא זכויותיהם החוקתיות של עצורים ונחקרים: בג"ץ 6055/95 </w:t>
      </w:r>
      <w:r w:rsidRPr="001A0B66">
        <w:rPr>
          <w:b/>
          <w:bCs/>
          <w:sz w:val="18"/>
          <w:rtl/>
        </w:rPr>
        <w:t>צמח נ' הפרקליט הצבאי הראשי</w:t>
      </w:r>
      <w:r w:rsidRPr="001A0B66">
        <w:rPr>
          <w:sz w:val="18"/>
          <w:rtl/>
        </w:rPr>
        <w:t xml:space="preserve">, פ"ד </w:t>
      </w:r>
      <w:proofErr w:type="spellStart"/>
      <w:r w:rsidRPr="001A0B66">
        <w:rPr>
          <w:sz w:val="18"/>
          <w:rtl/>
        </w:rPr>
        <w:t>נג</w:t>
      </w:r>
      <w:proofErr w:type="spellEnd"/>
      <w:r w:rsidRPr="001A0B66">
        <w:rPr>
          <w:sz w:val="18"/>
          <w:rtl/>
        </w:rPr>
        <w:t xml:space="preserve">(5) 241 (1999); ע"פ 5121/98 </w:t>
      </w:r>
      <w:proofErr w:type="spellStart"/>
      <w:r w:rsidRPr="001A0B66">
        <w:rPr>
          <w:b/>
          <w:bCs/>
          <w:sz w:val="18"/>
          <w:rtl/>
        </w:rPr>
        <w:t>יששכרוב</w:t>
      </w:r>
      <w:proofErr w:type="spellEnd"/>
      <w:r w:rsidRPr="001A0B66">
        <w:rPr>
          <w:b/>
          <w:bCs/>
          <w:sz w:val="18"/>
          <w:rtl/>
        </w:rPr>
        <w:t xml:space="preserve"> נ' התובע הצבאי</w:t>
      </w:r>
      <w:r w:rsidRPr="001A0B66">
        <w:rPr>
          <w:sz w:val="18"/>
          <w:rtl/>
        </w:rPr>
        <w:t xml:space="preserve">, פ"ד </w:t>
      </w:r>
      <w:proofErr w:type="spellStart"/>
      <w:r w:rsidRPr="001A0B66">
        <w:rPr>
          <w:sz w:val="18"/>
          <w:rtl/>
        </w:rPr>
        <w:t>סא</w:t>
      </w:r>
      <w:proofErr w:type="spellEnd"/>
      <w:r w:rsidRPr="001A0B66">
        <w:rPr>
          <w:sz w:val="18"/>
          <w:rtl/>
        </w:rPr>
        <w:t xml:space="preserve">(1) 461 (2006). </w:t>
      </w:r>
    </w:p>
  </w:footnote>
  <w:footnote w:id="146">
    <w:p w14:paraId="4C5A0D9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fldChar w:fldCharType="begin"/>
      </w:r>
      <w:r w:rsidRPr="001A0B66">
        <w:rPr>
          <w:sz w:val="18"/>
          <w:rtl/>
        </w:rPr>
        <w:instrText xml:space="preserve"> </w:instrText>
      </w:r>
      <w:r w:rsidRPr="001A0B66">
        <w:rPr>
          <w:sz w:val="18"/>
        </w:rPr>
        <w:instrText>ADDIN ZOTERO_ITEM CSL_CITATION {"citationID":"1aCgSBLj","properties":{"formattedCitation":"Fred L. Borch, {\\i{}The Historical Role of Military Lawyers in National Security Trials}, 50 {\\scaps South Texas Law Review} 717\\uc0\\u8211{}741 (2009).","plainCitation":"Fred L. Borch, The Historical Role of Military Lawyers in National Security Trials, 50 South Texas Law Review 717–741 (2009).","noteIndex":93},"citationItems":[{"id":14,"uris":["http://zotero.org/users/4596729/items/H3U3DTLK"],"uri":["http://zotero.org/users/4596729/items/H3U3DTLK"],"itemData":{"id":14,"type":"article-journal","container-title":"South Texas Law Review","page":"717-741","title":"The Historical Role of Military Lawyers in National Security Trials","volume":"50","author":[{"family</w:instrText>
      </w:r>
      <w:r w:rsidRPr="001A0B66">
        <w:rPr>
          <w:sz w:val="18"/>
          <w:rtl/>
        </w:rPr>
        <w:instrText>":"</w:instrText>
      </w:r>
      <w:r w:rsidRPr="001A0B66">
        <w:rPr>
          <w:sz w:val="18"/>
        </w:rPr>
        <w:instrText>Borch","given":"Fred L."}],"issued":{"date-parts":[["2009"]]}}}],"schema":"https://github.com/citation-style-language/schema/raw/master/csl-citation.json</w:instrText>
      </w:r>
      <w:r w:rsidRPr="001A0B66">
        <w:rPr>
          <w:sz w:val="18"/>
          <w:rtl/>
        </w:rPr>
        <w:instrText xml:space="preserve">"} </w:instrText>
      </w:r>
      <w:r w:rsidRPr="001A0B66">
        <w:rPr>
          <w:sz w:val="18"/>
          <w:rtl/>
        </w:rPr>
        <w:fldChar w:fldCharType="separate"/>
      </w:r>
      <w:r w:rsidRPr="001A0B66">
        <w:rPr>
          <w:sz w:val="18"/>
        </w:rPr>
        <w:t xml:space="preserve">Fred L. </w:t>
      </w:r>
      <w:proofErr w:type="spellStart"/>
      <w:r w:rsidRPr="001A0B66">
        <w:rPr>
          <w:sz w:val="18"/>
        </w:rPr>
        <w:t>Borch</w:t>
      </w:r>
      <w:proofErr w:type="spellEnd"/>
      <w:r w:rsidRPr="001A0B66">
        <w:rPr>
          <w:sz w:val="18"/>
        </w:rPr>
        <w:t xml:space="preserve">, </w:t>
      </w:r>
      <w:r w:rsidRPr="001A0B66">
        <w:rPr>
          <w:i/>
          <w:iCs/>
          <w:sz w:val="18"/>
        </w:rPr>
        <w:t>The Historical Role of Military Lawyers in National Security Trials</w:t>
      </w:r>
      <w:r w:rsidRPr="001A0B66">
        <w:rPr>
          <w:sz w:val="18"/>
        </w:rPr>
        <w:t xml:space="preserve">, 50 </w:t>
      </w:r>
      <w:r w:rsidRPr="001A0B66">
        <w:rPr>
          <w:smallCaps/>
          <w:sz w:val="18"/>
        </w:rPr>
        <w:t>S. Tex. L. Rev</w:t>
      </w:r>
      <w:r w:rsidRPr="001A0B66">
        <w:rPr>
          <w:sz w:val="18"/>
        </w:rPr>
        <w:t>. 717 (2009)</w:t>
      </w:r>
      <w:r w:rsidRPr="001A0B66">
        <w:rPr>
          <w:sz w:val="18"/>
          <w:rtl/>
        </w:rPr>
        <w:fldChar w:fldCharType="end"/>
      </w:r>
      <w:r w:rsidRPr="001A0B66">
        <w:rPr>
          <w:sz w:val="18"/>
          <w:rtl/>
        </w:rPr>
        <w:t>.</w:t>
      </w:r>
    </w:p>
  </w:footnote>
  <w:footnote w:id="147">
    <w:p w14:paraId="35C92EB5"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fldChar w:fldCharType="begin"/>
      </w:r>
      <w:r w:rsidRPr="001A0B66">
        <w:rPr>
          <w:sz w:val="18"/>
          <w:rtl/>
        </w:rPr>
        <w:instrText xml:space="preserve"> </w:instrText>
      </w:r>
      <w:r w:rsidRPr="001A0B66">
        <w:rPr>
          <w:sz w:val="18"/>
        </w:rPr>
        <w:instrText>ADDIN ZOTERO_ITEM CSL_CITATION {"citationID":"j279nlrk","properties":{"formattedCitation":"David Luban, {\\i{}Lawfare and Legal Ethics in Guantanamo}, 60 {\\scaps Stanford Law Review} 1981\\uc0\\u8211{}2026 (2008).","plainCitation":"David Luban, Lawfare</w:instrText>
      </w:r>
      <w:r w:rsidRPr="001A0B66">
        <w:rPr>
          <w:sz w:val="18"/>
          <w:rtl/>
        </w:rPr>
        <w:instrText xml:space="preserve"> </w:instrText>
      </w:r>
      <w:r w:rsidRPr="001A0B66">
        <w:rPr>
          <w:sz w:val="18"/>
        </w:rPr>
        <w:instrText>and Legal Ethics in Guantanamo, 60 Stanford Law Review 1981–2026 (2008).","dontUpdate":true,"noteIndex":94},"citationItems":[{"id":11,"uris":["http://zotero.org/users/4596729/items/WXYKLQFR"],"uri":["http://zotero.org/users/4596729/items/WXYKLQFR"],"itemData":{"id":11,"type":"article-journal","container-title":"Stanford Law Review","issue":"6","page":"1981-2026","title":"Lawfare and Legal Ethics in Guantanamo","volume":"60","author":[{"family":"Luban","given":"David"}],"issued":{"date-parts</w:instrText>
      </w:r>
      <w:r w:rsidRPr="001A0B66">
        <w:rPr>
          <w:sz w:val="18"/>
          <w:rtl/>
        </w:rPr>
        <w:instrText>":[["2008"]]</w:instrText>
      </w:r>
      <w:r w:rsidRPr="001A0B66">
        <w:rPr>
          <w:sz w:val="18"/>
        </w:rPr>
        <w:instrText>}}</w:instrText>
      </w:r>
      <w:r w:rsidRPr="001A0B66">
        <w:rPr>
          <w:sz w:val="18"/>
          <w:rtl/>
        </w:rPr>
        <w:instrText>}],"</w:instrText>
      </w:r>
      <w:r w:rsidRPr="001A0B66">
        <w:rPr>
          <w:sz w:val="18"/>
        </w:rPr>
        <w:instrText>schema":"https://github.com/citation-style-language/schema/raw/master/csl-citation.json</w:instrText>
      </w:r>
      <w:r w:rsidRPr="001A0B66">
        <w:rPr>
          <w:sz w:val="18"/>
          <w:rtl/>
        </w:rPr>
        <w:instrText xml:space="preserve">"} </w:instrText>
      </w:r>
      <w:r w:rsidRPr="001A0B66">
        <w:rPr>
          <w:sz w:val="18"/>
          <w:rtl/>
        </w:rPr>
        <w:fldChar w:fldCharType="separate"/>
      </w:r>
      <w:r w:rsidRPr="001A0B66">
        <w:rPr>
          <w:sz w:val="18"/>
        </w:rPr>
        <w:t xml:space="preserve">David </w:t>
      </w:r>
      <w:proofErr w:type="spellStart"/>
      <w:r w:rsidRPr="001A0B66">
        <w:rPr>
          <w:sz w:val="18"/>
        </w:rPr>
        <w:t>Luban</w:t>
      </w:r>
      <w:proofErr w:type="spellEnd"/>
      <w:r w:rsidRPr="001A0B66">
        <w:rPr>
          <w:sz w:val="18"/>
        </w:rPr>
        <w:t xml:space="preserve">, </w:t>
      </w:r>
      <w:r w:rsidRPr="001A0B66">
        <w:rPr>
          <w:i/>
          <w:iCs/>
          <w:sz w:val="18"/>
        </w:rPr>
        <w:t>Lawfare and Legal Ethics in Guantanamo</w:t>
      </w:r>
      <w:r w:rsidRPr="001A0B66">
        <w:rPr>
          <w:sz w:val="18"/>
        </w:rPr>
        <w:t xml:space="preserve">, 60 </w:t>
      </w:r>
      <w:r w:rsidRPr="001A0B66">
        <w:rPr>
          <w:smallCaps/>
          <w:sz w:val="18"/>
        </w:rPr>
        <w:t>Stan. L. Rev</w:t>
      </w:r>
      <w:r w:rsidRPr="001A0B66">
        <w:rPr>
          <w:sz w:val="18"/>
        </w:rPr>
        <w:t>. 1981 (2008)</w:t>
      </w:r>
      <w:r w:rsidRPr="001A0B66">
        <w:rPr>
          <w:sz w:val="18"/>
          <w:rtl/>
        </w:rPr>
        <w:fldChar w:fldCharType="end"/>
      </w:r>
      <w:r w:rsidRPr="001A0B66">
        <w:rPr>
          <w:sz w:val="18"/>
          <w:rtl/>
        </w:rPr>
        <w:t xml:space="preserve"> (להלן: לובן);</w:t>
      </w:r>
      <w:r w:rsidRPr="001A0B66">
        <w:rPr>
          <w:sz w:val="18"/>
        </w:rPr>
        <w:t xml:space="preserve"> </w:t>
      </w:r>
      <w:r w:rsidRPr="001A0B66">
        <w:rPr>
          <w:sz w:val="18"/>
        </w:rPr>
        <w:fldChar w:fldCharType="begin"/>
      </w:r>
      <w:r w:rsidRPr="001A0B66">
        <w:rPr>
          <w:sz w:val="18"/>
        </w:rPr>
        <w:instrText xml:space="preserve"> ADDIN ZOTERO_ITEM CSL_CITATION {"citationID":"IWajZABo","properties":{"formattedCitation":"Charles J. Dunlap &amp; Linell A. Letendre, {\\i{}Military Lawyering and Professional Independence in the War on Terror: A Response to David Luban}, 61 {\\scaps Stanford Law Review} 417\\uc0\\u8211{}442 (2008).","plainCitation":"Charles J. Dunlap &amp; Linell A. Letendre, Military Lawyering and Professional Independence in the War on Terror: A Response to David Luban, 61 Stanford Law Review 417–442 (2008).","dontUpdate":true,"noteIndex":94},"citationItems":[{"id":8,"uris":["http://zotero.org/users/4596729/items/7Y4K2KHJ"],"uri":["http://zotero.org/users/4596729/items/7Y4K2KHJ"],"itemData":{"id":8,"type":"article-journal","container-title":"Stanford Law Review","page":"417-442","title":"Military Lawyering and Professional Independence in the War on Terror: A Response to David Luban","volume":"61","author":[{"family":"Dunlap","given":"Charles J."},{"family":"Letendre","given":"Linell A."}],"issued":{"date-parts":[["2008"]]}}}],"schema":"https://github.com/citation-style-language/schema/raw/master/csl-citation.json"} </w:instrText>
      </w:r>
      <w:r w:rsidRPr="001A0B66">
        <w:rPr>
          <w:sz w:val="18"/>
        </w:rPr>
        <w:fldChar w:fldCharType="separate"/>
      </w:r>
      <w:r w:rsidRPr="001A0B66">
        <w:rPr>
          <w:sz w:val="18"/>
        </w:rPr>
        <w:t xml:space="preserve">Charles J. Dunlap &amp; </w:t>
      </w:r>
      <w:proofErr w:type="spellStart"/>
      <w:r w:rsidRPr="001A0B66">
        <w:rPr>
          <w:sz w:val="18"/>
        </w:rPr>
        <w:t>Linell</w:t>
      </w:r>
      <w:proofErr w:type="spellEnd"/>
      <w:r w:rsidRPr="001A0B66">
        <w:rPr>
          <w:sz w:val="18"/>
        </w:rPr>
        <w:t xml:space="preserve"> A. </w:t>
      </w:r>
      <w:proofErr w:type="spellStart"/>
      <w:r w:rsidRPr="001A0B66">
        <w:rPr>
          <w:sz w:val="18"/>
        </w:rPr>
        <w:t>Letendre</w:t>
      </w:r>
      <w:proofErr w:type="spellEnd"/>
      <w:r w:rsidRPr="001A0B66">
        <w:rPr>
          <w:sz w:val="18"/>
        </w:rPr>
        <w:t xml:space="preserve">, </w:t>
      </w:r>
      <w:r w:rsidRPr="001A0B66">
        <w:rPr>
          <w:i/>
          <w:iCs/>
          <w:sz w:val="18"/>
        </w:rPr>
        <w:t xml:space="preserve">Military Lawyering and Professional Independence in the War on Terror: A Response to David </w:t>
      </w:r>
      <w:proofErr w:type="spellStart"/>
      <w:r w:rsidRPr="001A0B66">
        <w:rPr>
          <w:i/>
          <w:iCs/>
          <w:sz w:val="18"/>
        </w:rPr>
        <w:t>Luban</w:t>
      </w:r>
      <w:proofErr w:type="spellEnd"/>
      <w:r w:rsidRPr="001A0B66">
        <w:rPr>
          <w:sz w:val="18"/>
        </w:rPr>
        <w:t xml:space="preserve">, 61 </w:t>
      </w:r>
      <w:r w:rsidRPr="001A0B66">
        <w:rPr>
          <w:smallCaps/>
          <w:sz w:val="18"/>
        </w:rPr>
        <w:t>Stan. L. Rev</w:t>
      </w:r>
      <w:r w:rsidRPr="001A0B66">
        <w:rPr>
          <w:sz w:val="18"/>
        </w:rPr>
        <w:t>. 417 (2008)</w:t>
      </w:r>
      <w:r w:rsidRPr="001A0B66">
        <w:rPr>
          <w:sz w:val="18"/>
        </w:rPr>
        <w:fldChar w:fldCharType="end"/>
      </w:r>
      <w:r w:rsidR="0044762F">
        <w:rPr>
          <w:sz w:val="18"/>
        </w:rPr>
        <w:t xml:space="preserve"> </w:t>
      </w:r>
      <w:r w:rsidR="0044762F">
        <w:rPr>
          <w:sz w:val="18"/>
        </w:rPr>
        <w:br/>
        <w:t>)</w:t>
      </w:r>
      <w:r w:rsidR="0044762F">
        <w:rPr>
          <w:sz w:val="18"/>
          <w:rtl/>
        </w:rPr>
        <w:t xml:space="preserve">להלן: </w:t>
      </w:r>
      <w:proofErr w:type="spellStart"/>
      <w:r w:rsidR="0044762F">
        <w:rPr>
          <w:sz w:val="18"/>
          <w:rtl/>
        </w:rPr>
        <w:t>דנלפ</w:t>
      </w:r>
      <w:proofErr w:type="spellEnd"/>
      <w:r w:rsidR="0044762F">
        <w:rPr>
          <w:sz w:val="18"/>
          <w:rtl/>
        </w:rPr>
        <w:t xml:space="preserve"> ולטנדר);</w:t>
      </w:r>
      <w:r w:rsidRPr="001A0B66">
        <w:rPr>
          <w:sz w:val="18"/>
        </w:rPr>
        <w:t xml:space="preserve"> </w:t>
      </w:r>
      <w:r w:rsidRPr="001A0B66">
        <w:rPr>
          <w:sz w:val="18"/>
        </w:rPr>
        <w:fldChar w:fldCharType="begin"/>
      </w:r>
      <w:r w:rsidRPr="001A0B66">
        <w:rPr>
          <w:sz w:val="18"/>
        </w:rPr>
        <w:instrText xml:space="preserve"> ADDIN ZOTERO_ITEM CSL_CITATION {"citationID":"983rqLwu","properties":{"formattedCitation":"Jason Wright, {\\i{}More Kafka than Kafka}, {\\i{}in} {\\scaps Obama\\uc0\\u8217{}s Guant\\uc0\\u225{}namo: Stories from an Ending Prison} 197\\uc0\\u8211{}209 (Jonathan Hafetz ed., 2016).","plainCitation":"Jason Wright, More Kafka than Kafka, in Obama’s Guantánamo: Stories from an Ending Prison 197–209 (Jonathan Hafetz ed., 2016).","dontUpdate":true,"noteIndex":94},"citationItems":[{"id":9,"uris":["http://zotero.org/users/4596729/items/JJ73FF9E"],"uri":["http://zotero.org/users/4596729/items/JJ73FF9E"],"itemData":{"id":9,"type":"chapter","container-title":"Obama's Guantánamo: Stories from an Ending Prison","page":"197-209","publisher":"New York University Press","title":"More Kafka than Kafka","author":[{"family":"Wright","given":"Jason"}],"editor":[{"family":"Hafetz","given":"Jonathan"}],"issued":{"date-parts":[["2016"]]}}}],"schema":"https://github.com/citation-style-language/schema/raw/master/csl-citation.json"} </w:instrText>
      </w:r>
      <w:r w:rsidRPr="001A0B66">
        <w:rPr>
          <w:sz w:val="18"/>
        </w:rPr>
        <w:fldChar w:fldCharType="separate"/>
      </w:r>
      <w:r w:rsidRPr="001A0B66">
        <w:rPr>
          <w:sz w:val="18"/>
        </w:rPr>
        <w:t xml:space="preserve">Jason Wright, </w:t>
      </w:r>
      <w:r w:rsidRPr="001A0B66">
        <w:rPr>
          <w:i/>
          <w:iCs/>
          <w:sz w:val="18"/>
        </w:rPr>
        <w:t>More Kafka than Kafka</w:t>
      </w:r>
      <w:r w:rsidRPr="001A0B66">
        <w:rPr>
          <w:sz w:val="18"/>
        </w:rPr>
        <w:t xml:space="preserve">, </w:t>
      </w:r>
      <w:r w:rsidRPr="001A0B66">
        <w:rPr>
          <w:i/>
          <w:iCs/>
          <w:sz w:val="18"/>
        </w:rPr>
        <w:t>in</w:t>
      </w:r>
      <w:r w:rsidRPr="001A0B66">
        <w:rPr>
          <w:sz w:val="18"/>
        </w:rPr>
        <w:t xml:space="preserve"> </w:t>
      </w:r>
      <w:r w:rsidRPr="001A0B66">
        <w:rPr>
          <w:smallCaps/>
          <w:sz w:val="18"/>
        </w:rPr>
        <w:t>Obama's Guantánamo: Stories from an Ending Prison</w:t>
      </w:r>
      <w:r w:rsidRPr="001A0B66">
        <w:rPr>
          <w:sz w:val="18"/>
        </w:rPr>
        <w:t xml:space="preserve"> 197–209 (Jonathan </w:t>
      </w:r>
      <w:proofErr w:type="spellStart"/>
      <w:r w:rsidRPr="001A0B66">
        <w:rPr>
          <w:sz w:val="18"/>
        </w:rPr>
        <w:t>Hafetz</w:t>
      </w:r>
      <w:proofErr w:type="spellEnd"/>
      <w:r w:rsidRPr="001A0B66">
        <w:rPr>
          <w:sz w:val="18"/>
        </w:rPr>
        <w:t xml:space="preserve"> ed., 2016)</w:t>
      </w:r>
      <w:r w:rsidRPr="001A0B66">
        <w:rPr>
          <w:sz w:val="18"/>
        </w:rPr>
        <w:fldChar w:fldCharType="end"/>
      </w:r>
      <w:r w:rsidRPr="001A0B66">
        <w:rPr>
          <w:sz w:val="18"/>
          <w:rtl/>
        </w:rPr>
        <w:t>.</w:t>
      </w:r>
    </w:p>
  </w:footnote>
  <w:footnote w:id="148">
    <w:p w14:paraId="02119419"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לובן, </w:t>
      </w:r>
      <w:r w:rsidR="0044762F">
        <w:rPr>
          <w:sz w:val="18"/>
          <w:rtl/>
        </w:rPr>
        <w:t>שם, בעמ' 146</w:t>
      </w:r>
      <w:r w:rsidRPr="001A0B66">
        <w:rPr>
          <w:sz w:val="18"/>
          <w:rtl/>
        </w:rPr>
        <w:t xml:space="preserve">, בעמ' 2000–2003 (בתרגום חופשי שלנו). גם מבקריו של לובן, </w:t>
      </w:r>
      <w:proofErr w:type="spellStart"/>
      <w:r w:rsidRPr="001A0B66">
        <w:rPr>
          <w:sz w:val="18"/>
          <w:rtl/>
        </w:rPr>
        <w:t>דנלפ</w:t>
      </w:r>
      <w:proofErr w:type="spellEnd"/>
      <w:r w:rsidRPr="001A0B66">
        <w:rPr>
          <w:sz w:val="18"/>
          <w:rtl/>
        </w:rPr>
        <w:t xml:space="preserve"> ולטנדר, </w:t>
      </w:r>
      <w:r w:rsidR="0044762F">
        <w:rPr>
          <w:sz w:val="18"/>
          <w:rtl/>
        </w:rPr>
        <w:t xml:space="preserve">שם, </w:t>
      </w:r>
      <w:r w:rsidRPr="001A0B66">
        <w:rPr>
          <w:sz w:val="18"/>
          <w:rtl/>
        </w:rPr>
        <w:t xml:space="preserve">פרקליטים בכירים בצבא ארצות הברית, מסכימים עם תיאורו בנקודה זו, אך בניגוד ללובן סבורים כי הממשל לא ניסה לחבל בפעילותם המקצועית של הסנגורים הצבאיים. </w:t>
      </w:r>
    </w:p>
  </w:footnote>
  <w:footnote w:id="149">
    <w:p w14:paraId="776B3B5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חוק האזרחות והכניסה לישראל (הוראת שעה), </w:t>
      </w:r>
      <w:proofErr w:type="spellStart"/>
      <w:r w:rsidRPr="001A0B66">
        <w:rPr>
          <w:sz w:val="18"/>
          <w:rtl/>
        </w:rPr>
        <w:t>התשס"ג</w:t>
      </w:r>
      <w:proofErr w:type="spellEnd"/>
      <w:r w:rsidRPr="001A0B66">
        <w:rPr>
          <w:sz w:val="18"/>
          <w:rtl/>
        </w:rPr>
        <w:t>–2003; נוהל משרד הפנים 1.13.0001 "מרכז החיים" (1.12.2008).</w:t>
      </w:r>
    </w:p>
  </w:footnote>
  <w:footnote w:id="150">
    <w:p w14:paraId="67D0D558"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למשל, את עניין </w:t>
      </w:r>
      <w:proofErr w:type="spellStart"/>
      <w:r w:rsidRPr="001A0B66">
        <w:rPr>
          <w:b/>
          <w:bCs/>
          <w:sz w:val="18"/>
          <w:rtl/>
        </w:rPr>
        <w:t>געאביץ</w:t>
      </w:r>
      <w:proofErr w:type="spellEnd"/>
      <w:r w:rsidRPr="001A0B66">
        <w:rPr>
          <w:sz w:val="18"/>
          <w:rtl/>
        </w:rPr>
        <w:t xml:space="preserve">, לעיל </w:t>
      </w:r>
      <w:proofErr w:type="spellStart"/>
      <w:r w:rsidRPr="001A0B66">
        <w:rPr>
          <w:sz w:val="18"/>
          <w:rtl/>
        </w:rPr>
        <w:t>ה"ש</w:t>
      </w:r>
      <w:proofErr w:type="spellEnd"/>
      <w:r w:rsidRPr="001A0B66">
        <w:rPr>
          <w:sz w:val="18"/>
          <w:rtl/>
        </w:rPr>
        <w:t xml:space="preserve"> </w:t>
      </w:r>
      <w:r w:rsidRPr="001A0B66">
        <w:rPr>
          <w:sz w:val="18"/>
          <w:rtl/>
        </w:rPr>
        <w:fldChar w:fldCharType="begin"/>
      </w:r>
      <w:r w:rsidRPr="001A0B66">
        <w:rPr>
          <w:sz w:val="18"/>
          <w:rtl/>
        </w:rPr>
        <w:instrText xml:space="preserve"> </w:instrText>
      </w:r>
      <w:r w:rsidRPr="001A0B66">
        <w:rPr>
          <w:sz w:val="18"/>
        </w:rPr>
        <w:instrText>NOTEREF</w:instrText>
      </w:r>
      <w:r w:rsidRPr="001A0B66">
        <w:rPr>
          <w:sz w:val="18"/>
          <w:rtl/>
        </w:rPr>
        <w:instrText xml:space="preserve"> _</w:instrText>
      </w:r>
      <w:r w:rsidRPr="001A0B66">
        <w:rPr>
          <w:sz w:val="18"/>
        </w:rPr>
        <w:instrText>Ref53049361 \h</w:instrText>
      </w:r>
      <w:r w:rsidRPr="001A0B66">
        <w:rPr>
          <w:sz w:val="18"/>
          <w:rtl/>
        </w:rPr>
        <w:instrText xml:space="preserve"> </w:instrText>
      </w:r>
      <w:r>
        <w:rPr>
          <w:sz w:val="18"/>
        </w:rPr>
        <w:instrText xml:space="preserve"> \* MERGEFORMAT </w:instrText>
      </w:r>
      <w:r w:rsidRPr="001A0B66">
        <w:rPr>
          <w:sz w:val="18"/>
          <w:rtl/>
        </w:rPr>
      </w:r>
      <w:r w:rsidRPr="001A0B66">
        <w:rPr>
          <w:sz w:val="18"/>
          <w:rtl/>
        </w:rPr>
        <w:fldChar w:fldCharType="separate"/>
      </w:r>
      <w:r w:rsidRPr="001A0B66">
        <w:rPr>
          <w:sz w:val="18"/>
          <w:rtl/>
        </w:rPr>
        <w:t>1</w:t>
      </w:r>
      <w:r w:rsidRPr="001A0B66">
        <w:rPr>
          <w:sz w:val="18"/>
          <w:rtl/>
        </w:rPr>
        <w:fldChar w:fldCharType="end"/>
      </w:r>
      <w:r w:rsidRPr="001A0B66">
        <w:rPr>
          <w:sz w:val="18"/>
          <w:rtl/>
        </w:rPr>
        <w:t xml:space="preserve">, ואת עניין </w:t>
      </w:r>
      <w:r w:rsidRPr="001A0B66">
        <w:rPr>
          <w:b/>
          <w:bCs/>
          <w:sz w:val="18"/>
          <w:rtl/>
        </w:rPr>
        <w:t>פספוס</w:t>
      </w:r>
      <w:r w:rsidRPr="001A0B66">
        <w:rPr>
          <w:sz w:val="18"/>
          <w:rtl/>
        </w:rPr>
        <w:t xml:space="preserve">: </w:t>
      </w:r>
      <w:proofErr w:type="spellStart"/>
      <w:r w:rsidRPr="001A0B66">
        <w:rPr>
          <w:sz w:val="18"/>
          <w:rtl/>
        </w:rPr>
        <w:t>עת"ם</w:t>
      </w:r>
      <w:proofErr w:type="spellEnd"/>
      <w:r w:rsidRPr="001A0B66">
        <w:rPr>
          <w:sz w:val="18"/>
          <w:rtl/>
        </w:rPr>
        <w:t xml:space="preserve"> (</w:t>
      </w:r>
      <w:proofErr w:type="spellStart"/>
      <w:r w:rsidRPr="001A0B66">
        <w:rPr>
          <w:sz w:val="18"/>
          <w:rtl/>
        </w:rPr>
        <w:t>מינהליים</w:t>
      </w:r>
      <w:proofErr w:type="spellEnd"/>
      <w:r w:rsidRPr="001A0B66">
        <w:rPr>
          <w:sz w:val="18"/>
          <w:rtl/>
        </w:rPr>
        <w:t xml:space="preserve"> י-ם) 8121/08 </w:t>
      </w:r>
      <w:r w:rsidRPr="001A0B66">
        <w:rPr>
          <w:b/>
          <w:bCs/>
          <w:sz w:val="18"/>
          <w:rtl/>
        </w:rPr>
        <w:t xml:space="preserve">פספוס נ' שר הפנים </w:t>
      </w:r>
      <w:r w:rsidRPr="001A0B66">
        <w:rPr>
          <w:sz w:val="18"/>
          <w:rtl/>
        </w:rPr>
        <w:t xml:space="preserve">(פורסם בנבו, 24.7.2008); </w:t>
      </w:r>
      <w:proofErr w:type="spellStart"/>
      <w:r w:rsidRPr="001A0B66">
        <w:rPr>
          <w:sz w:val="18"/>
          <w:rtl/>
        </w:rPr>
        <w:t>עע"ם</w:t>
      </w:r>
      <w:proofErr w:type="spellEnd"/>
      <w:r w:rsidRPr="001A0B66">
        <w:rPr>
          <w:sz w:val="18"/>
          <w:rtl/>
        </w:rPr>
        <w:t xml:space="preserve"> </w:t>
      </w:r>
      <w:bookmarkStart w:id="103" w:name="_Hlk53763636"/>
      <w:r w:rsidRPr="001A0B66">
        <w:rPr>
          <w:sz w:val="18"/>
          <w:rtl/>
        </w:rPr>
        <w:t xml:space="preserve">8289/08 </w:t>
      </w:r>
      <w:bookmarkEnd w:id="103"/>
      <w:r w:rsidRPr="001A0B66">
        <w:rPr>
          <w:b/>
          <w:bCs/>
          <w:sz w:val="18"/>
          <w:rtl/>
        </w:rPr>
        <w:t xml:space="preserve">פספוס נ' שר הביטחון </w:t>
      </w:r>
      <w:r w:rsidRPr="001A0B66">
        <w:rPr>
          <w:sz w:val="18"/>
          <w:rtl/>
        </w:rPr>
        <w:t xml:space="preserve">(פורסם בנבו, 2.11.2008). בעניין </w:t>
      </w:r>
      <w:r w:rsidRPr="001A0B66">
        <w:rPr>
          <w:b/>
          <w:bCs/>
          <w:sz w:val="18"/>
          <w:rtl/>
        </w:rPr>
        <w:t>פספוס</w:t>
      </w:r>
      <w:r w:rsidRPr="001A0B66">
        <w:rPr>
          <w:sz w:val="18"/>
          <w:rtl/>
        </w:rPr>
        <w:t xml:space="preserve"> נדחתה עתירה להסרת חיסיון מחלק מהראיות החסויות, ראיות שעל בסיסן הוחלט שלא להאריך את מעמד התושבות הארעית של אב משפחה פלסטיני שחי בירושלים עם אשתו וששת ילדיו זה למעלה מ-15 שנה (כולם תושבי קבע בישראל), והוא גורש לשטחים. </w:t>
      </w:r>
    </w:p>
  </w:footnote>
  <w:footnote w:id="151">
    <w:p w14:paraId="5195863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סימן א' לפרק השלישי לחוק הכניסה לישראל. </w:t>
      </w:r>
    </w:p>
  </w:footnote>
  <w:footnote w:id="152">
    <w:p w14:paraId="704B6989"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 11א לחוק הכניסה לישראל. </w:t>
      </w:r>
    </w:p>
  </w:footnote>
  <w:footnote w:id="153">
    <w:p w14:paraId="181CA063"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בג"ץ 7803/06 </w:t>
      </w:r>
      <w:r w:rsidRPr="001A0B66">
        <w:rPr>
          <w:b/>
          <w:bCs/>
          <w:sz w:val="18"/>
          <w:rtl/>
        </w:rPr>
        <w:t>אבו ערפה נ' שר הפנים</w:t>
      </w:r>
      <w:r w:rsidRPr="001A0B66">
        <w:rPr>
          <w:sz w:val="18"/>
          <w:rtl/>
        </w:rPr>
        <w:t xml:space="preserve">, פסקה 6 לפסק דינו של השופט </w:t>
      </w:r>
      <w:proofErr w:type="spellStart"/>
      <w:r w:rsidRPr="001A0B66">
        <w:rPr>
          <w:sz w:val="18"/>
          <w:rtl/>
        </w:rPr>
        <w:t>פוגלמן</w:t>
      </w:r>
      <w:proofErr w:type="spellEnd"/>
      <w:r w:rsidRPr="001A0B66">
        <w:rPr>
          <w:sz w:val="18"/>
          <w:rtl/>
        </w:rPr>
        <w:t xml:space="preserve"> (פורסם בנבו, 13.9.2017). ראוי לשים לב כי החלטה של שר הפנים אינה הליך שיפוטי אלא הליך מנהלי מעין-שיפוטי. </w:t>
      </w:r>
    </w:p>
  </w:footnote>
  <w:footnote w:id="154">
    <w:p w14:paraId="1D41B3EF"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proofErr w:type="spellStart"/>
      <w:r w:rsidRPr="001A0B66">
        <w:rPr>
          <w:sz w:val="18"/>
          <w:rtl/>
        </w:rPr>
        <w:t>עת"ם</w:t>
      </w:r>
      <w:proofErr w:type="spellEnd"/>
      <w:r w:rsidRPr="001A0B66">
        <w:rPr>
          <w:sz w:val="18"/>
          <w:rtl/>
        </w:rPr>
        <w:t xml:space="preserve"> (</w:t>
      </w:r>
      <w:proofErr w:type="spellStart"/>
      <w:r w:rsidRPr="001A0B66">
        <w:rPr>
          <w:sz w:val="18"/>
          <w:rtl/>
        </w:rPr>
        <w:t>מינהליים</w:t>
      </w:r>
      <w:proofErr w:type="spellEnd"/>
      <w:r w:rsidRPr="001A0B66">
        <w:rPr>
          <w:sz w:val="18"/>
          <w:rtl/>
        </w:rPr>
        <w:t xml:space="preserve"> ת"א) 51147-05-14 </w:t>
      </w:r>
      <w:r w:rsidRPr="001A0B66">
        <w:rPr>
          <w:b/>
          <w:bCs/>
          <w:sz w:val="18"/>
          <w:rtl/>
        </w:rPr>
        <w:t>גישה – מרכז לשמירה על הזכות לנוע נ' יחידת מתאם פעולות הממשלה בשטחים</w:t>
      </w:r>
      <w:r w:rsidRPr="001A0B66">
        <w:rPr>
          <w:sz w:val="18"/>
          <w:rtl/>
        </w:rPr>
        <w:t xml:space="preserve"> (פורסם בנבו, 13.1.2016). המדינה מבחינה בין "סייענים" – מי שהופעלו על ידה, לבין "מאוימים" – הטוענים שהיו סייענים או שסייעו בצורה בלתי פורמלית או נחשדים ככאלה אך המדינה אינה מכירה בהם כסייענים. מאוימים יכולים לפנות לעזרת ועדת מאוימים: נוהל מתאם הפעולות בשטחים "נוהל טיפול במאוימים" (פברואר 2015) </w:t>
      </w:r>
      <w:hyperlink r:id="rId14" w:history="1">
        <w:r w:rsidRPr="001A0B66">
          <w:rPr>
            <w:rStyle w:val="Hyperlink"/>
            <w:rFonts w:cs="David"/>
            <w:sz w:val="18"/>
          </w:rPr>
          <w:t>www.gisha.org/UserFiles/File/LegalDocuments/procedures/general/99.pdf</w:t>
        </w:r>
      </w:hyperlink>
      <w:r w:rsidRPr="001A0B66">
        <w:rPr>
          <w:sz w:val="18"/>
          <w:rtl/>
        </w:rPr>
        <w:t>.</w:t>
      </w:r>
      <w:r w:rsidRPr="001A0B66">
        <w:rPr>
          <w:color w:val="C00000"/>
          <w:sz w:val="18"/>
          <w:rtl/>
        </w:rPr>
        <w:t xml:space="preserve"> </w:t>
      </w:r>
      <w:r w:rsidRPr="001A0B66">
        <w:rPr>
          <w:sz w:val="18"/>
          <w:rtl/>
        </w:rPr>
        <w:t xml:space="preserve">על אופן פעולת ועדת המאוימים וסמכויותיה ראו בין היתר בג"ץ 9482/11 </w:t>
      </w:r>
      <w:r w:rsidRPr="001A0B66">
        <w:rPr>
          <w:b/>
          <w:bCs/>
          <w:sz w:val="18"/>
          <w:rtl/>
        </w:rPr>
        <w:t>פלוני נ' שר הפנים</w:t>
      </w:r>
      <w:r w:rsidRPr="001A0B66">
        <w:rPr>
          <w:sz w:val="18"/>
          <w:rtl/>
        </w:rPr>
        <w:t xml:space="preserve"> (פורסם בנבו, 7.1.2013).</w:t>
      </w:r>
    </w:p>
  </w:footnote>
  <w:footnote w:id="155">
    <w:p w14:paraId="7CA0939D"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נוהל טיפול במאוימים, שם; פרוטוקול ישיבה מס' 252 של הוועדה לענייני ביקורת המדינה, הכנסת ה-18, 4, 8 (15.5.12); מנחם </w:t>
      </w:r>
      <w:proofErr w:type="spellStart"/>
      <w:r w:rsidRPr="001A0B66">
        <w:rPr>
          <w:sz w:val="18"/>
          <w:rtl/>
        </w:rPr>
        <w:t>הופנונג</w:t>
      </w:r>
      <w:proofErr w:type="spellEnd"/>
      <w:r w:rsidRPr="001A0B66">
        <w:rPr>
          <w:sz w:val="18"/>
          <w:rtl/>
        </w:rPr>
        <w:t xml:space="preserve"> "מחיר המידע: קליטה ושיקום של סייעני מערכת הביטחון בערי ישראל" </w:t>
      </w:r>
      <w:r w:rsidRPr="001A0B66">
        <w:rPr>
          <w:b/>
          <w:bCs/>
          <w:sz w:val="18"/>
          <w:rtl/>
        </w:rPr>
        <w:t>משפט וממשל</w:t>
      </w:r>
      <w:r w:rsidRPr="001A0B66">
        <w:rPr>
          <w:sz w:val="18"/>
          <w:rtl/>
        </w:rPr>
        <w:t xml:space="preserve"> </w:t>
      </w:r>
      <w:proofErr w:type="spellStart"/>
      <w:r w:rsidRPr="001A0B66">
        <w:rPr>
          <w:sz w:val="18"/>
          <w:rtl/>
        </w:rPr>
        <w:t>יח</w:t>
      </w:r>
      <w:proofErr w:type="spellEnd"/>
      <w:r w:rsidRPr="001A0B66">
        <w:rPr>
          <w:sz w:val="18"/>
          <w:rtl/>
        </w:rPr>
        <w:t xml:space="preserve"> 55 (2017).</w:t>
      </w:r>
    </w:p>
  </w:footnote>
  <w:footnote w:id="156">
    <w:p w14:paraId="374BEC4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ראו למשל:</w:t>
      </w:r>
      <w:r w:rsidRPr="001A0B66">
        <w:rPr>
          <w:sz w:val="18"/>
        </w:rPr>
        <w:t xml:space="preserve"> </w:t>
      </w:r>
      <w:r w:rsidRPr="001A0B66">
        <w:rPr>
          <w:sz w:val="18"/>
          <w:rtl/>
        </w:rPr>
        <w:t xml:space="preserve">רון שפירא "הליך </w:t>
      </w:r>
      <w:proofErr w:type="spellStart"/>
      <w:r w:rsidRPr="001A0B66">
        <w:rPr>
          <w:sz w:val="18"/>
          <w:rtl/>
        </w:rPr>
        <w:t>מינהלי</w:t>
      </w:r>
      <w:proofErr w:type="spellEnd"/>
      <w:r w:rsidRPr="001A0B66">
        <w:rPr>
          <w:sz w:val="18"/>
          <w:rtl/>
        </w:rPr>
        <w:t xml:space="preserve"> כקובע את גבולותיה ומסגרתה של הענישה הפלילית" </w:t>
      </w:r>
      <w:r w:rsidRPr="001A0B66">
        <w:rPr>
          <w:b/>
          <w:bCs/>
          <w:sz w:val="18"/>
          <w:rtl/>
        </w:rPr>
        <w:t>ספר עדי אזר ז"ל – המשפט</w:t>
      </w:r>
      <w:r w:rsidRPr="001A0B66">
        <w:rPr>
          <w:sz w:val="18"/>
          <w:rtl/>
        </w:rPr>
        <w:t xml:space="preserve"> </w:t>
      </w:r>
      <w:proofErr w:type="spellStart"/>
      <w:r w:rsidRPr="001A0B66">
        <w:rPr>
          <w:sz w:val="18"/>
          <w:rtl/>
        </w:rPr>
        <w:t>יב</w:t>
      </w:r>
      <w:proofErr w:type="spellEnd"/>
      <w:r w:rsidRPr="001A0B66">
        <w:rPr>
          <w:sz w:val="18"/>
          <w:rtl/>
        </w:rPr>
        <w:t xml:space="preserve"> 485, 500–505 (2007); בן-נתן, בחזרה לעתיד, לעיל </w:t>
      </w:r>
      <w:proofErr w:type="spellStart"/>
      <w:r w:rsidRPr="001A0B66">
        <w:rPr>
          <w:sz w:val="18"/>
          <w:rtl/>
        </w:rPr>
        <w:t>ה"ש</w:t>
      </w:r>
      <w:proofErr w:type="spellEnd"/>
      <w:r w:rsidRPr="001A0B66">
        <w:rPr>
          <w:sz w:val="18"/>
          <w:rtl/>
        </w:rPr>
        <w:t xml:space="preserve"> 2.</w:t>
      </w:r>
    </w:p>
  </w:footnote>
  <w:footnote w:id="157">
    <w:p w14:paraId="76B4AF44"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דנה </w:t>
      </w:r>
      <w:proofErr w:type="spellStart"/>
      <w:r w:rsidRPr="001A0B66">
        <w:rPr>
          <w:sz w:val="18"/>
          <w:rtl/>
        </w:rPr>
        <w:t>פוגץ</w:t>
      </w:r>
      <w:proofErr w:type="spellEnd"/>
      <w:r w:rsidRPr="001A0B66">
        <w:rPr>
          <w:sz w:val="18"/>
          <w:rtl/>
        </w:rPr>
        <w:t xml:space="preserve">' "'ביום שאחרי' – גישות חדשות במערכת המשפט לניהול הסיכון של פגיעה מינית – מענישה בלבד לפיקוח ומניעה", </w:t>
      </w:r>
      <w:r w:rsidRPr="001A0B66">
        <w:rPr>
          <w:b/>
          <w:bCs/>
          <w:sz w:val="18"/>
          <w:rtl/>
        </w:rPr>
        <w:t>הפרקליט</w:t>
      </w:r>
      <w:r w:rsidRPr="001A0B66">
        <w:rPr>
          <w:sz w:val="18"/>
          <w:rtl/>
        </w:rPr>
        <w:t xml:space="preserve"> נא(1) 139 (תשע"א); חגית </w:t>
      </w:r>
      <w:proofErr w:type="spellStart"/>
      <w:r w:rsidRPr="001A0B66">
        <w:rPr>
          <w:sz w:val="18"/>
          <w:rtl/>
        </w:rPr>
        <w:t>לרנאו</w:t>
      </w:r>
      <w:proofErr w:type="spellEnd"/>
      <w:r w:rsidRPr="001A0B66">
        <w:rPr>
          <w:sz w:val="18"/>
          <w:rtl/>
        </w:rPr>
        <w:t xml:space="preserve"> ואיילת עוז "למה אסור להתאהב בחוק ההגנה על הציבור מפני עברייני מין – מבט ביקורתי" </w:t>
      </w:r>
      <w:r w:rsidRPr="001A0B66">
        <w:rPr>
          <w:b/>
          <w:bCs/>
          <w:sz w:val="18"/>
          <w:rtl/>
        </w:rPr>
        <w:t>הפרקליט</w:t>
      </w:r>
      <w:r w:rsidRPr="001A0B66">
        <w:rPr>
          <w:sz w:val="18"/>
          <w:rtl/>
        </w:rPr>
        <w:t xml:space="preserve"> נא(1) 205 (תשע"א).</w:t>
      </w:r>
    </w:p>
  </w:footnote>
  <w:footnote w:id="158">
    <w:p w14:paraId="0CB4C27C"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סעיפים 44 ו-45 לפקודת הראיות [נוסח חדש], </w:t>
      </w:r>
      <w:proofErr w:type="spellStart"/>
      <w:r w:rsidRPr="001A0B66">
        <w:rPr>
          <w:sz w:val="18"/>
          <w:rtl/>
        </w:rPr>
        <w:t>התשל"א</w:t>
      </w:r>
      <w:proofErr w:type="spellEnd"/>
      <w:r w:rsidRPr="001A0B66">
        <w:rPr>
          <w:sz w:val="18"/>
          <w:rtl/>
        </w:rPr>
        <w:t>–1971.</w:t>
      </w:r>
    </w:p>
  </w:footnote>
  <w:footnote w:id="159">
    <w:p w14:paraId="0D95CF6A"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ראו לעיל, הטקסט העוקב </w:t>
      </w:r>
      <w:proofErr w:type="spellStart"/>
      <w:r w:rsidRPr="007B3E1B">
        <w:rPr>
          <w:sz w:val="18"/>
          <w:rtl/>
        </w:rPr>
        <w:t>לה"ש</w:t>
      </w:r>
      <w:proofErr w:type="spellEnd"/>
      <w:r w:rsidRPr="007B3E1B">
        <w:rPr>
          <w:sz w:val="18"/>
          <w:rtl/>
        </w:rPr>
        <w:t xml:space="preserve"> </w:t>
      </w:r>
      <w:r w:rsidR="007B3E1B" w:rsidRPr="007B3E1B">
        <w:rPr>
          <w:sz w:val="18"/>
          <w:rtl/>
        </w:rPr>
        <w:t>60</w:t>
      </w:r>
      <w:r w:rsidRPr="007B3E1B">
        <w:rPr>
          <w:sz w:val="18"/>
          <w:rtl/>
        </w:rPr>
        <w:t>.</w:t>
      </w:r>
    </w:p>
  </w:footnote>
  <w:footnote w:id="160">
    <w:p w14:paraId="4742CA1B"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חוק הסיוע המשפטי, </w:t>
      </w:r>
      <w:proofErr w:type="spellStart"/>
      <w:r w:rsidRPr="001A0B66">
        <w:rPr>
          <w:sz w:val="18"/>
          <w:rtl/>
        </w:rPr>
        <w:t>התשל"ב</w:t>
      </w:r>
      <w:proofErr w:type="spellEnd"/>
      <w:r w:rsidRPr="001A0B66">
        <w:rPr>
          <w:sz w:val="18"/>
          <w:rtl/>
        </w:rPr>
        <w:t>–1972.</w:t>
      </w:r>
    </w:p>
  </w:footnote>
  <w:footnote w:id="161">
    <w:p w14:paraId="68505B4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הרחבת סמכות הלשכה לסיוע משפטי נעשתה בעבר ביחס לאוכלוסיות נזקקות מיוחדות: מאושפזים בשירותי בריאות הנפש, קטינים בלתי מלווים וקורבנות סחר בבני אדם, על פי צו הסיוע המשפטי (החלת מתן סיוע משפטי) </w:t>
      </w:r>
      <w:proofErr w:type="spellStart"/>
      <w:r w:rsidRPr="001A0B66">
        <w:rPr>
          <w:sz w:val="18"/>
          <w:rtl/>
        </w:rPr>
        <w:t>התשס"ו</w:t>
      </w:r>
      <w:proofErr w:type="spellEnd"/>
      <w:r w:rsidRPr="001A0B66">
        <w:rPr>
          <w:sz w:val="18"/>
          <w:rtl/>
        </w:rPr>
        <w:t xml:space="preserve">–2006. </w:t>
      </w:r>
    </w:p>
  </w:footnote>
  <w:footnote w:id="162">
    <w:p w14:paraId="6DCA9B17" w14:textId="77777777" w:rsidR="0019600D" w:rsidRDefault="0091227C" w:rsidP="00E157D9">
      <w:pPr>
        <w:pStyle w:val="FootnoteText"/>
        <w:spacing w:after="60"/>
      </w:pPr>
      <w:r w:rsidRPr="001A0B66">
        <w:rPr>
          <w:rStyle w:val="FootnoteReference"/>
          <w:rFonts w:cs="David"/>
          <w:sz w:val="18"/>
          <w:rtl/>
        </w:rPr>
        <w:footnoteRef/>
      </w:r>
      <w:r w:rsidRPr="001A0B66">
        <w:rPr>
          <w:rStyle w:val="FootnoteReference"/>
          <w:rFonts w:cs="David"/>
          <w:sz w:val="18"/>
          <w:rtl/>
        </w:rPr>
        <w:tab/>
      </w:r>
      <w:r w:rsidRPr="001A0B66">
        <w:rPr>
          <w:sz w:val="18"/>
          <w:rtl/>
        </w:rPr>
        <w:t xml:space="preserve">בתמצית: חוק יסוד כבוד האדם וחירותו על פסקת ההגבלה שבו מציבים סייגים לכל פגיעה בחירות, קל וחומר כזו שאינה שומרת על הליך הוגן. סייג מרכזי הוא אבן הבוחן של המידתיות; וזו מעמידה בסימן שאלה ממשי את מצב הדברים הקיים בתחום סמכויות החירום והראיות החסויות לנוכח החלופה של מודל הפרקליט המיוחד. </w:t>
      </w:r>
    </w:p>
  </w:footnote>
  <w:footnote w:id="163">
    <w:p w14:paraId="10ACBB91" w14:textId="77777777" w:rsidR="0019600D" w:rsidRDefault="0091227C" w:rsidP="00E157D9">
      <w:pPr>
        <w:pStyle w:val="FootnoteText"/>
        <w:spacing w:after="60"/>
      </w:pPr>
      <w:r w:rsidRPr="001A0B66">
        <w:rPr>
          <w:rStyle w:val="FootnoteReference"/>
          <w:rFonts w:cs="David"/>
          <w:sz w:val="18"/>
          <w:szCs w:val="22"/>
          <w:rtl/>
        </w:rPr>
        <w:footnoteRef/>
      </w:r>
      <w:r w:rsidRPr="001A0B66">
        <w:rPr>
          <w:rStyle w:val="FootnoteReference"/>
          <w:rFonts w:cs="David"/>
          <w:sz w:val="18"/>
          <w:szCs w:val="22"/>
          <w:rtl/>
        </w:rPr>
        <w:tab/>
      </w:r>
      <w:r w:rsidRPr="001A0B66">
        <w:rPr>
          <w:rtl/>
        </w:rPr>
        <w:t xml:space="preserve">בג"ץ 3450/06 </w:t>
      </w:r>
      <w:proofErr w:type="spellStart"/>
      <w:r w:rsidRPr="001A0B66">
        <w:rPr>
          <w:b/>
          <w:bCs/>
          <w:rtl/>
        </w:rPr>
        <w:t>דויב</w:t>
      </w:r>
      <w:proofErr w:type="spellEnd"/>
      <w:r w:rsidRPr="001A0B66">
        <w:rPr>
          <w:b/>
          <w:bCs/>
          <w:rtl/>
        </w:rPr>
        <w:t xml:space="preserve"> נ' המפקד הצבאי</w:t>
      </w:r>
      <w:r w:rsidRPr="001A0B66">
        <w:rPr>
          <w:rtl/>
        </w:rPr>
        <w:t xml:space="preserve"> (פורסם בנבו, 12.2.2008).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5E"/>
    <w:multiLevelType w:val="hybridMultilevel"/>
    <w:tmpl w:val="5DAABE7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846F9"/>
    <w:multiLevelType w:val="hybridMultilevel"/>
    <w:tmpl w:val="B7DAD19A"/>
    <w:lvl w:ilvl="0" w:tplc="79E82254">
      <w:start w:val="1"/>
      <w:numFmt w:val="decimal"/>
      <w:lvlText w:val="%1."/>
      <w:lvlJc w:val="left"/>
      <w:pPr>
        <w:ind w:left="-219" w:hanging="360"/>
      </w:pPr>
      <w:rPr>
        <w:rFonts w:asciiTheme="majorHAnsi" w:hAnsiTheme="majorHAnsi" w:cs="Times New Roman" w:hint="default"/>
      </w:rPr>
    </w:lvl>
    <w:lvl w:ilvl="1" w:tplc="04090003" w:tentative="1">
      <w:start w:val="1"/>
      <w:numFmt w:val="bullet"/>
      <w:lvlText w:val="o"/>
      <w:lvlJc w:val="left"/>
      <w:pPr>
        <w:ind w:left="501" w:hanging="360"/>
      </w:pPr>
      <w:rPr>
        <w:rFonts w:ascii="Courier New" w:hAnsi="Courier New" w:hint="default"/>
      </w:rPr>
    </w:lvl>
    <w:lvl w:ilvl="2" w:tplc="04090005" w:tentative="1">
      <w:start w:val="1"/>
      <w:numFmt w:val="bullet"/>
      <w:lvlText w:val=""/>
      <w:lvlJc w:val="left"/>
      <w:pPr>
        <w:ind w:left="1221" w:hanging="360"/>
      </w:pPr>
      <w:rPr>
        <w:rFonts w:ascii="Wingdings" w:hAnsi="Wingdings" w:hint="default"/>
      </w:rPr>
    </w:lvl>
    <w:lvl w:ilvl="3" w:tplc="04090001" w:tentative="1">
      <w:start w:val="1"/>
      <w:numFmt w:val="bullet"/>
      <w:lvlText w:val=""/>
      <w:lvlJc w:val="left"/>
      <w:pPr>
        <w:ind w:left="1941" w:hanging="360"/>
      </w:pPr>
      <w:rPr>
        <w:rFonts w:ascii="Symbol" w:hAnsi="Symbol" w:hint="default"/>
      </w:rPr>
    </w:lvl>
    <w:lvl w:ilvl="4" w:tplc="04090003" w:tentative="1">
      <w:start w:val="1"/>
      <w:numFmt w:val="bullet"/>
      <w:lvlText w:val="o"/>
      <w:lvlJc w:val="left"/>
      <w:pPr>
        <w:ind w:left="2661" w:hanging="360"/>
      </w:pPr>
      <w:rPr>
        <w:rFonts w:ascii="Courier New" w:hAnsi="Courier New" w:hint="default"/>
      </w:rPr>
    </w:lvl>
    <w:lvl w:ilvl="5" w:tplc="04090005" w:tentative="1">
      <w:start w:val="1"/>
      <w:numFmt w:val="bullet"/>
      <w:lvlText w:val=""/>
      <w:lvlJc w:val="left"/>
      <w:pPr>
        <w:ind w:left="3381" w:hanging="360"/>
      </w:pPr>
      <w:rPr>
        <w:rFonts w:ascii="Wingdings" w:hAnsi="Wingdings" w:hint="default"/>
      </w:rPr>
    </w:lvl>
    <w:lvl w:ilvl="6" w:tplc="04090001" w:tentative="1">
      <w:start w:val="1"/>
      <w:numFmt w:val="bullet"/>
      <w:lvlText w:val=""/>
      <w:lvlJc w:val="left"/>
      <w:pPr>
        <w:ind w:left="4101" w:hanging="360"/>
      </w:pPr>
      <w:rPr>
        <w:rFonts w:ascii="Symbol" w:hAnsi="Symbol" w:hint="default"/>
      </w:rPr>
    </w:lvl>
    <w:lvl w:ilvl="7" w:tplc="04090003" w:tentative="1">
      <w:start w:val="1"/>
      <w:numFmt w:val="bullet"/>
      <w:lvlText w:val="o"/>
      <w:lvlJc w:val="left"/>
      <w:pPr>
        <w:ind w:left="4821" w:hanging="360"/>
      </w:pPr>
      <w:rPr>
        <w:rFonts w:ascii="Courier New" w:hAnsi="Courier New" w:hint="default"/>
      </w:rPr>
    </w:lvl>
    <w:lvl w:ilvl="8" w:tplc="04090005" w:tentative="1">
      <w:start w:val="1"/>
      <w:numFmt w:val="bullet"/>
      <w:lvlText w:val=""/>
      <w:lvlJc w:val="left"/>
      <w:pPr>
        <w:ind w:left="5541" w:hanging="360"/>
      </w:pPr>
      <w:rPr>
        <w:rFonts w:ascii="Wingdings" w:hAnsi="Wingdings" w:hint="default"/>
      </w:rPr>
    </w:lvl>
  </w:abstractNum>
  <w:abstractNum w:abstractNumId="2" w15:restartNumberingAfterBreak="0">
    <w:nsid w:val="05FB29CF"/>
    <w:multiLevelType w:val="hybridMultilevel"/>
    <w:tmpl w:val="320A30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E8B1826"/>
    <w:multiLevelType w:val="hybridMultilevel"/>
    <w:tmpl w:val="7D92ABA6"/>
    <w:lvl w:ilvl="0" w:tplc="8EC25454">
      <w:start w:val="1"/>
      <w:numFmt w:val="decimal"/>
      <w:lvlText w:val="%1."/>
      <w:lvlJc w:val="left"/>
      <w:pPr>
        <w:ind w:left="360" w:hanging="360"/>
      </w:pPr>
      <w:rPr>
        <w:rFonts w:ascii="David" w:hAnsi="David" w:cs="David"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4BB00D2"/>
    <w:multiLevelType w:val="hybridMultilevel"/>
    <w:tmpl w:val="F19A5586"/>
    <w:lvl w:ilvl="0" w:tplc="F850C1D0">
      <w:start w:val="1"/>
      <w:numFmt w:val="hebrew1"/>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7B41D9"/>
    <w:multiLevelType w:val="hybridMultilevel"/>
    <w:tmpl w:val="80722E6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A69689B"/>
    <w:multiLevelType w:val="hybridMultilevel"/>
    <w:tmpl w:val="0CDA6678"/>
    <w:lvl w:ilvl="0" w:tplc="F022F262">
      <w:start w:val="1"/>
      <w:numFmt w:val="decimal"/>
      <w:lvlText w:val="%1."/>
      <w:lvlJc w:val="left"/>
      <w:pPr>
        <w:ind w:left="720" w:hanging="360"/>
      </w:pPr>
      <w:rPr>
        <w:rFonts w:cs="Times New Roman"/>
        <w:b w:val="0"/>
        <w:bCs w:val="0"/>
      </w:rPr>
    </w:lvl>
    <w:lvl w:ilvl="1" w:tplc="B7E0A4D8">
      <w:start w:val="1"/>
      <w:numFmt w:val="hebrew1"/>
      <w:lvlText w:val="%2."/>
      <w:lvlJc w:val="center"/>
      <w:pPr>
        <w:ind w:left="1069" w:hanging="360"/>
      </w:pPr>
      <w:rPr>
        <w:rFonts w:cs="Times New Roman"/>
        <w:b w:val="0"/>
        <w:bCs w:val="0"/>
      </w:rPr>
    </w:lvl>
    <w:lvl w:ilvl="2" w:tplc="BF521D4E">
      <w:start w:val="1"/>
      <w:numFmt w:val="decimal"/>
      <w:lvlText w:val="%3)"/>
      <w:lvlJc w:val="left"/>
      <w:pPr>
        <w:ind w:left="2160" w:hanging="180"/>
      </w:pPr>
      <w:rPr>
        <w:rFonts w:cs="Times New Roman"/>
        <w:b w:val="0"/>
        <w:bCs w:val="0"/>
      </w:rPr>
    </w:lvl>
    <w:lvl w:ilvl="3" w:tplc="0409000F">
      <w:start w:val="1"/>
      <w:numFmt w:val="decimal"/>
      <w:lvlText w:val="%4."/>
      <w:lvlJc w:val="left"/>
      <w:pPr>
        <w:ind w:left="2880" w:hanging="360"/>
      </w:pPr>
      <w:rPr>
        <w:rFonts w:cs="Times New Roman"/>
      </w:rPr>
    </w:lvl>
    <w:lvl w:ilvl="4" w:tplc="8A0A2370">
      <w:start w:val="1"/>
      <w:numFmt w:val="decimal"/>
      <w:lvlText w:val="(%5)"/>
      <w:lvlJc w:val="left"/>
      <w:pPr>
        <w:ind w:left="1494" w:hanging="360"/>
      </w:pPr>
      <w:rPr>
        <w:rFonts w:cs="Times New Roman"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F30EC3"/>
    <w:multiLevelType w:val="multilevel"/>
    <w:tmpl w:val="E05A6F8E"/>
    <w:lvl w:ilvl="0">
      <w:start w:val="1"/>
      <w:numFmt w:val="hebrew1"/>
      <w:lvlText w:val="(%1)"/>
      <w:lvlJc w:val="left"/>
      <w:pPr>
        <w:ind w:left="432" w:hanging="432"/>
      </w:pPr>
      <w:rPr>
        <w:rFonts w:cs="Times New Roman" w:hint="default"/>
      </w:rPr>
    </w:lvl>
    <w:lvl w:ilvl="1">
      <w:start w:val="1"/>
      <w:numFmt w:val="hebrew1"/>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hebrew1"/>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013388A"/>
    <w:multiLevelType w:val="hybridMultilevel"/>
    <w:tmpl w:val="7E341160"/>
    <w:lvl w:ilvl="0" w:tplc="2688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C59A1"/>
    <w:multiLevelType w:val="hybridMultilevel"/>
    <w:tmpl w:val="A88C7B12"/>
    <w:lvl w:ilvl="0" w:tplc="5F4EBC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56C0E"/>
    <w:multiLevelType w:val="hybridMultilevel"/>
    <w:tmpl w:val="4BFA21CC"/>
    <w:lvl w:ilvl="0" w:tplc="4CBAF72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A6008F"/>
    <w:multiLevelType w:val="hybridMultilevel"/>
    <w:tmpl w:val="4C44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113CE"/>
    <w:multiLevelType w:val="hybridMultilevel"/>
    <w:tmpl w:val="26667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C03C60"/>
    <w:multiLevelType w:val="hybridMultilevel"/>
    <w:tmpl w:val="C83C4F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626194"/>
    <w:multiLevelType w:val="hybridMultilevel"/>
    <w:tmpl w:val="9FAC174A"/>
    <w:lvl w:ilvl="0" w:tplc="A4C0C986">
      <w:start w:val="1"/>
      <w:numFmt w:val="hebrew1"/>
      <w:lvlText w:val="(%1)"/>
      <w:lvlJc w:val="left"/>
      <w:pPr>
        <w:ind w:left="1080" w:hanging="72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ABD4A7A"/>
    <w:multiLevelType w:val="hybridMultilevel"/>
    <w:tmpl w:val="D6BC8058"/>
    <w:lvl w:ilvl="0" w:tplc="C20CD1A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CD00F6"/>
    <w:multiLevelType w:val="hybridMultilevel"/>
    <w:tmpl w:val="95BE3908"/>
    <w:lvl w:ilvl="0" w:tplc="2A1E3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81ECA"/>
    <w:multiLevelType w:val="hybridMultilevel"/>
    <w:tmpl w:val="CB8EB9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35D3689"/>
    <w:multiLevelType w:val="hybridMultilevel"/>
    <w:tmpl w:val="105AB38A"/>
    <w:lvl w:ilvl="0" w:tplc="0AF25CA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50422"/>
    <w:multiLevelType w:val="hybridMultilevel"/>
    <w:tmpl w:val="7B46B864"/>
    <w:lvl w:ilvl="0" w:tplc="15522784">
      <w:start w:val="1"/>
      <w:numFmt w:val="hebrew1"/>
      <w:lvlText w:val="(%1)"/>
      <w:lvlJc w:val="left"/>
      <w:pPr>
        <w:ind w:left="630" w:hanging="630"/>
      </w:pPr>
      <w:rPr>
        <w:rFonts w:cs="Times New Roman" w:hint="default"/>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6953BEF"/>
    <w:multiLevelType w:val="hybridMultilevel"/>
    <w:tmpl w:val="F99A0D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F32658"/>
    <w:multiLevelType w:val="hybridMultilevel"/>
    <w:tmpl w:val="4D2A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07DD"/>
    <w:multiLevelType w:val="hybridMultilevel"/>
    <w:tmpl w:val="BD7CF13A"/>
    <w:lvl w:ilvl="0" w:tplc="2688BD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73111"/>
    <w:multiLevelType w:val="hybridMultilevel"/>
    <w:tmpl w:val="68F01DDE"/>
    <w:lvl w:ilvl="0" w:tplc="14706D3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E8B25CF"/>
    <w:multiLevelType w:val="hybridMultilevel"/>
    <w:tmpl w:val="4566EF12"/>
    <w:lvl w:ilvl="0" w:tplc="1F62425C">
      <w:start w:val="1"/>
      <w:numFmt w:val="hebrew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98155C"/>
    <w:multiLevelType w:val="hybridMultilevel"/>
    <w:tmpl w:val="56B49FBE"/>
    <w:lvl w:ilvl="0" w:tplc="C20CD1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25A6A"/>
    <w:multiLevelType w:val="hybridMultilevel"/>
    <w:tmpl w:val="A5F2E062"/>
    <w:lvl w:ilvl="0" w:tplc="1F62425C">
      <w:start w:val="1"/>
      <w:numFmt w:val="hebrew1"/>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76107B8"/>
    <w:multiLevelType w:val="hybridMultilevel"/>
    <w:tmpl w:val="CDB2AB34"/>
    <w:lvl w:ilvl="0" w:tplc="C20CD1A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366893"/>
    <w:multiLevelType w:val="hybridMultilevel"/>
    <w:tmpl w:val="36DAA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6219FD"/>
    <w:multiLevelType w:val="hybridMultilevel"/>
    <w:tmpl w:val="CB1A1B76"/>
    <w:lvl w:ilvl="0" w:tplc="4DDA20E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440A0"/>
    <w:multiLevelType w:val="hybridMultilevel"/>
    <w:tmpl w:val="F246F072"/>
    <w:lvl w:ilvl="0" w:tplc="FB569E9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1" w15:restartNumberingAfterBreak="0">
    <w:nsid w:val="51BE1F58"/>
    <w:multiLevelType w:val="hybridMultilevel"/>
    <w:tmpl w:val="4028B2F8"/>
    <w:lvl w:ilvl="0" w:tplc="1F62425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5654D5"/>
    <w:multiLevelType w:val="hybridMultilevel"/>
    <w:tmpl w:val="B350BAA4"/>
    <w:lvl w:ilvl="0" w:tplc="B9186B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3E532B4"/>
    <w:multiLevelType w:val="hybridMultilevel"/>
    <w:tmpl w:val="AB569554"/>
    <w:lvl w:ilvl="0" w:tplc="1FFEAA9E">
      <w:start w:val="1"/>
      <w:numFmt w:val="decimal"/>
      <w:lvlText w:val="%1."/>
      <w:lvlJc w:val="left"/>
      <w:pPr>
        <w:ind w:left="1440" w:hanging="360"/>
      </w:pPr>
      <w:rPr>
        <w:rFonts w:ascii="??" w:eastAsia="Times New Roman" w:hAnsi="??" w:cs="David"/>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6F3819"/>
    <w:multiLevelType w:val="hybridMultilevel"/>
    <w:tmpl w:val="A866F23C"/>
    <w:lvl w:ilvl="0" w:tplc="AC245D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A15973"/>
    <w:multiLevelType w:val="hybridMultilevel"/>
    <w:tmpl w:val="F6408E70"/>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3D661E"/>
    <w:multiLevelType w:val="multilevel"/>
    <w:tmpl w:val="C0B096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75F006C"/>
    <w:multiLevelType w:val="hybridMultilevel"/>
    <w:tmpl w:val="C5F0263E"/>
    <w:lvl w:ilvl="0" w:tplc="B94E82FE">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B846ACB"/>
    <w:multiLevelType w:val="hybridMultilevel"/>
    <w:tmpl w:val="E19EFCDA"/>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9703DE"/>
    <w:multiLevelType w:val="hybridMultilevel"/>
    <w:tmpl w:val="12C20C0A"/>
    <w:lvl w:ilvl="0" w:tplc="D71014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A27668"/>
    <w:multiLevelType w:val="hybridMultilevel"/>
    <w:tmpl w:val="CAF46924"/>
    <w:lvl w:ilvl="0" w:tplc="AF3E860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2" w15:restartNumberingAfterBreak="0">
    <w:nsid w:val="77A11DEC"/>
    <w:multiLevelType w:val="hybridMultilevel"/>
    <w:tmpl w:val="7B46B864"/>
    <w:lvl w:ilvl="0" w:tplc="15522784">
      <w:start w:val="1"/>
      <w:numFmt w:val="hebrew1"/>
      <w:lvlText w:val="(%1)"/>
      <w:lvlJc w:val="left"/>
      <w:pPr>
        <w:ind w:left="630" w:hanging="630"/>
      </w:pPr>
      <w:rPr>
        <w:rFonts w:cs="Times New Roman" w:hint="default"/>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BED1868"/>
    <w:multiLevelType w:val="hybridMultilevel"/>
    <w:tmpl w:val="1A2C8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9303BB"/>
    <w:multiLevelType w:val="multilevel"/>
    <w:tmpl w:val="7F844B38"/>
    <w:lvl w:ilvl="0">
      <w:start w:val="1"/>
      <w:numFmt w:val="decimal"/>
      <w:pStyle w:val="Heading1"/>
      <w:lvlText w:val="%1."/>
      <w:lvlJc w:val="left"/>
      <w:pPr>
        <w:ind w:left="432" w:hanging="432"/>
      </w:pPr>
      <w:rPr>
        <w:rFonts w:cs="Times New Roman" w:hint="default"/>
      </w:rPr>
    </w:lvl>
    <w:lvl w:ilvl="1">
      <w:start w:val="1"/>
      <w:numFmt w:val="hebrew1"/>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hebrew1"/>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9"/>
  </w:num>
  <w:num w:numId="2">
    <w:abstractNumId w:val="22"/>
  </w:num>
  <w:num w:numId="3">
    <w:abstractNumId w:val="33"/>
  </w:num>
  <w:num w:numId="4">
    <w:abstractNumId w:val="2"/>
  </w:num>
  <w:num w:numId="5">
    <w:abstractNumId w:val="5"/>
  </w:num>
  <w:num w:numId="6">
    <w:abstractNumId w:val="0"/>
  </w:num>
  <w:num w:numId="7">
    <w:abstractNumId w:val="12"/>
  </w:num>
  <w:num w:numId="8">
    <w:abstractNumId w:val="1"/>
  </w:num>
  <w:num w:numId="9">
    <w:abstractNumId w:val="35"/>
  </w:num>
  <w:num w:numId="10">
    <w:abstractNumId w:val="10"/>
  </w:num>
  <w:num w:numId="11">
    <w:abstractNumId w:val="8"/>
  </w:num>
  <w:num w:numId="12">
    <w:abstractNumId w:val="38"/>
  </w:num>
  <w:num w:numId="13">
    <w:abstractNumId w:val="34"/>
  </w:num>
  <w:num w:numId="14">
    <w:abstractNumId w:val="4"/>
  </w:num>
  <w:num w:numId="15">
    <w:abstractNumId w:val="3"/>
  </w:num>
  <w:num w:numId="16">
    <w:abstractNumId w:val="16"/>
  </w:num>
  <w:num w:numId="17">
    <w:abstractNumId w:val="27"/>
  </w:num>
  <w:num w:numId="18">
    <w:abstractNumId w:val="20"/>
  </w:num>
  <w:num w:numId="19">
    <w:abstractNumId w:val="24"/>
  </w:num>
  <w:num w:numId="20">
    <w:abstractNumId w:val="18"/>
  </w:num>
  <w:num w:numId="21">
    <w:abstractNumId w:val="43"/>
  </w:num>
  <w:num w:numId="22">
    <w:abstractNumId w:val="15"/>
  </w:num>
  <w:num w:numId="23">
    <w:abstractNumId w:val="25"/>
  </w:num>
  <w:num w:numId="24">
    <w:abstractNumId w:val="40"/>
  </w:num>
  <w:num w:numId="25">
    <w:abstractNumId w:val="19"/>
  </w:num>
  <w:num w:numId="26">
    <w:abstractNumId w:val="32"/>
  </w:num>
  <w:num w:numId="27">
    <w:abstractNumId w:val="28"/>
  </w:num>
  <w:num w:numId="28">
    <w:abstractNumId w:val="42"/>
  </w:num>
  <w:num w:numId="29">
    <w:abstractNumId w:val="29"/>
  </w:num>
  <w:num w:numId="30">
    <w:abstractNumId w:val="23"/>
  </w:num>
  <w:num w:numId="31">
    <w:abstractNumId w:val="17"/>
  </w:num>
  <w:num w:numId="32">
    <w:abstractNumId w:val="13"/>
  </w:num>
  <w:num w:numId="33">
    <w:abstractNumId w:val="30"/>
  </w:num>
  <w:num w:numId="34">
    <w:abstractNumId w:val="41"/>
  </w:num>
  <w:num w:numId="35">
    <w:abstractNumId w:val="39"/>
  </w:num>
  <w:num w:numId="36">
    <w:abstractNumId w:val="2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7"/>
  </w:num>
  <w:num w:numId="40">
    <w:abstractNumId w:val="31"/>
  </w:num>
  <w:num w:numId="41">
    <w:abstractNumId w:val="26"/>
  </w:num>
  <w:num w:numId="42">
    <w:abstractNumId w:val="14"/>
  </w:num>
  <w:num w:numId="43">
    <w:abstractNumId w:val="11"/>
  </w:num>
  <w:num w:numId="44">
    <w:abstractNumId w:val="3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DateAndTime/>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73"/>
    <w:rsid w:val="00000FD8"/>
    <w:rsid w:val="00002C5D"/>
    <w:rsid w:val="00003A2D"/>
    <w:rsid w:val="00003D4C"/>
    <w:rsid w:val="000047A3"/>
    <w:rsid w:val="00004F26"/>
    <w:rsid w:val="00006F01"/>
    <w:rsid w:val="00007CFF"/>
    <w:rsid w:val="0001153A"/>
    <w:rsid w:val="000127ED"/>
    <w:rsid w:val="00014BEC"/>
    <w:rsid w:val="0001531B"/>
    <w:rsid w:val="000157D6"/>
    <w:rsid w:val="00015CD7"/>
    <w:rsid w:val="0001638C"/>
    <w:rsid w:val="000164A0"/>
    <w:rsid w:val="00016FD1"/>
    <w:rsid w:val="00017A9C"/>
    <w:rsid w:val="00017FD4"/>
    <w:rsid w:val="0002032E"/>
    <w:rsid w:val="00020F44"/>
    <w:rsid w:val="00021C98"/>
    <w:rsid w:val="00023481"/>
    <w:rsid w:val="00023516"/>
    <w:rsid w:val="00023A69"/>
    <w:rsid w:val="00023E0F"/>
    <w:rsid w:val="00023F7B"/>
    <w:rsid w:val="0002422B"/>
    <w:rsid w:val="00026F7A"/>
    <w:rsid w:val="00027369"/>
    <w:rsid w:val="0002743A"/>
    <w:rsid w:val="00030848"/>
    <w:rsid w:val="00030F45"/>
    <w:rsid w:val="00031530"/>
    <w:rsid w:val="00031CB5"/>
    <w:rsid w:val="0003343B"/>
    <w:rsid w:val="00033CA0"/>
    <w:rsid w:val="00034F73"/>
    <w:rsid w:val="00035A7E"/>
    <w:rsid w:val="00035D2F"/>
    <w:rsid w:val="00036AAE"/>
    <w:rsid w:val="00037C1D"/>
    <w:rsid w:val="00037E09"/>
    <w:rsid w:val="000402D3"/>
    <w:rsid w:val="00040D19"/>
    <w:rsid w:val="00042281"/>
    <w:rsid w:val="0004275D"/>
    <w:rsid w:val="00042CBA"/>
    <w:rsid w:val="00045698"/>
    <w:rsid w:val="00045F18"/>
    <w:rsid w:val="00046254"/>
    <w:rsid w:val="000472B3"/>
    <w:rsid w:val="00050932"/>
    <w:rsid w:val="00050998"/>
    <w:rsid w:val="00051502"/>
    <w:rsid w:val="00051632"/>
    <w:rsid w:val="000517F3"/>
    <w:rsid w:val="00051CB9"/>
    <w:rsid w:val="00051D12"/>
    <w:rsid w:val="00053B71"/>
    <w:rsid w:val="00053BC7"/>
    <w:rsid w:val="00055586"/>
    <w:rsid w:val="00055DF5"/>
    <w:rsid w:val="00056106"/>
    <w:rsid w:val="00056218"/>
    <w:rsid w:val="00056D3D"/>
    <w:rsid w:val="00061208"/>
    <w:rsid w:val="00061C5B"/>
    <w:rsid w:val="000638EA"/>
    <w:rsid w:val="0006628C"/>
    <w:rsid w:val="00067312"/>
    <w:rsid w:val="000706F8"/>
    <w:rsid w:val="0007117D"/>
    <w:rsid w:val="00071A0C"/>
    <w:rsid w:val="00071FD7"/>
    <w:rsid w:val="0007338F"/>
    <w:rsid w:val="000737F5"/>
    <w:rsid w:val="00073B36"/>
    <w:rsid w:val="00074445"/>
    <w:rsid w:val="00074BCF"/>
    <w:rsid w:val="000760CB"/>
    <w:rsid w:val="000767A0"/>
    <w:rsid w:val="00077E70"/>
    <w:rsid w:val="00081251"/>
    <w:rsid w:val="00081A5E"/>
    <w:rsid w:val="00086026"/>
    <w:rsid w:val="00086157"/>
    <w:rsid w:val="000861C8"/>
    <w:rsid w:val="00086293"/>
    <w:rsid w:val="000866FB"/>
    <w:rsid w:val="000867B6"/>
    <w:rsid w:val="00091764"/>
    <w:rsid w:val="000919F1"/>
    <w:rsid w:val="00092671"/>
    <w:rsid w:val="00095887"/>
    <w:rsid w:val="000959F9"/>
    <w:rsid w:val="00095A76"/>
    <w:rsid w:val="00095D75"/>
    <w:rsid w:val="00095F99"/>
    <w:rsid w:val="000960AA"/>
    <w:rsid w:val="00096106"/>
    <w:rsid w:val="00096203"/>
    <w:rsid w:val="0009638C"/>
    <w:rsid w:val="00097CA1"/>
    <w:rsid w:val="000A0C63"/>
    <w:rsid w:val="000A1074"/>
    <w:rsid w:val="000A2A55"/>
    <w:rsid w:val="000A3D98"/>
    <w:rsid w:val="000A3E5F"/>
    <w:rsid w:val="000A4B69"/>
    <w:rsid w:val="000A4C68"/>
    <w:rsid w:val="000A62F4"/>
    <w:rsid w:val="000A76BC"/>
    <w:rsid w:val="000B05E7"/>
    <w:rsid w:val="000B114A"/>
    <w:rsid w:val="000B1919"/>
    <w:rsid w:val="000B1A65"/>
    <w:rsid w:val="000B2EF5"/>
    <w:rsid w:val="000B2F00"/>
    <w:rsid w:val="000B45FE"/>
    <w:rsid w:val="000B5360"/>
    <w:rsid w:val="000B54A4"/>
    <w:rsid w:val="000B6880"/>
    <w:rsid w:val="000B6C3A"/>
    <w:rsid w:val="000B6D4F"/>
    <w:rsid w:val="000B764C"/>
    <w:rsid w:val="000B7DE2"/>
    <w:rsid w:val="000C1739"/>
    <w:rsid w:val="000C27BE"/>
    <w:rsid w:val="000C3EE7"/>
    <w:rsid w:val="000C407C"/>
    <w:rsid w:val="000C48F1"/>
    <w:rsid w:val="000C51C6"/>
    <w:rsid w:val="000C58ED"/>
    <w:rsid w:val="000C5A25"/>
    <w:rsid w:val="000C6728"/>
    <w:rsid w:val="000C6A7B"/>
    <w:rsid w:val="000C7275"/>
    <w:rsid w:val="000D0902"/>
    <w:rsid w:val="000D2217"/>
    <w:rsid w:val="000D2EB6"/>
    <w:rsid w:val="000D32AB"/>
    <w:rsid w:val="000D3353"/>
    <w:rsid w:val="000D450B"/>
    <w:rsid w:val="000D4688"/>
    <w:rsid w:val="000D601A"/>
    <w:rsid w:val="000D638C"/>
    <w:rsid w:val="000D7C32"/>
    <w:rsid w:val="000E0776"/>
    <w:rsid w:val="000E122B"/>
    <w:rsid w:val="000E2103"/>
    <w:rsid w:val="000E31E3"/>
    <w:rsid w:val="000E340A"/>
    <w:rsid w:val="000E3DBA"/>
    <w:rsid w:val="000E46DC"/>
    <w:rsid w:val="000E7803"/>
    <w:rsid w:val="000F1729"/>
    <w:rsid w:val="000F28FF"/>
    <w:rsid w:val="000F4761"/>
    <w:rsid w:val="000F4CAF"/>
    <w:rsid w:val="000F51C4"/>
    <w:rsid w:val="000F5A49"/>
    <w:rsid w:val="000F6258"/>
    <w:rsid w:val="000F7543"/>
    <w:rsid w:val="001013B4"/>
    <w:rsid w:val="001021B8"/>
    <w:rsid w:val="001028D3"/>
    <w:rsid w:val="001054E0"/>
    <w:rsid w:val="001056EA"/>
    <w:rsid w:val="0011029A"/>
    <w:rsid w:val="00110EE7"/>
    <w:rsid w:val="001111D1"/>
    <w:rsid w:val="001113B2"/>
    <w:rsid w:val="001122C4"/>
    <w:rsid w:val="00112AC6"/>
    <w:rsid w:val="001132E6"/>
    <w:rsid w:val="00115C15"/>
    <w:rsid w:val="00116550"/>
    <w:rsid w:val="001173F5"/>
    <w:rsid w:val="00117651"/>
    <w:rsid w:val="001177C6"/>
    <w:rsid w:val="001179C2"/>
    <w:rsid w:val="001202C3"/>
    <w:rsid w:val="00121A51"/>
    <w:rsid w:val="00122B0B"/>
    <w:rsid w:val="00123C19"/>
    <w:rsid w:val="00123FA6"/>
    <w:rsid w:val="0012443E"/>
    <w:rsid w:val="00124501"/>
    <w:rsid w:val="00124537"/>
    <w:rsid w:val="001245C0"/>
    <w:rsid w:val="0012482C"/>
    <w:rsid w:val="00124C17"/>
    <w:rsid w:val="001251C4"/>
    <w:rsid w:val="001275F9"/>
    <w:rsid w:val="001313F7"/>
    <w:rsid w:val="00131776"/>
    <w:rsid w:val="001330FC"/>
    <w:rsid w:val="00133240"/>
    <w:rsid w:val="0013519D"/>
    <w:rsid w:val="001353F7"/>
    <w:rsid w:val="00135975"/>
    <w:rsid w:val="0013691A"/>
    <w:rsid w:val="00137C92"/>
    <w:rsid w:val="00137E35"/>
    <w:rsid w:val="00141055"/>
    <w:rsid w:val="001417DF"/>
    <w:rsid w:val="00141C54"/>
    <w:rsid w:val="00142012"/>
    <w:rsid w:val="001427E6"/>
    <w:rsid w:val="00143AAC"/>
    <w:rsid w:val="00143EAC"/>
    <w:rsid w:val="00144EA2"/>
    <w:rsid w:val="001450FA"/>
    <w:rsid w:val="00146303"/>
    <w:rsid w:val="00146E93"/>
    <w:rsid w:val="0014747A"/>
    <w:rsid w:val="00147C22"/>
    <w:rsid w:val="00151D32"/>
    <w:rsid w:val="0015381E"/>
    <w:rsid w:val="00153D71"/>
    <w:rsid w:val="00154AE8"/>
    <w:rsid w:val="00155113"/>
    <w:rsid w:val="001555A7"/>
    <w:rsid w:val="00156842"/>
    <w:rsid w:val="001574D5"/>
    <w:rsid w:val="00160B54"/>
    <w:rsid w:val="001615A2"/>
    <w:rsid w:val="001619DE"/>
    <w:rsid w:val="00162821"/>
    <w:rsid w:val="00162A0A"/>
    <w:rsid w:val="00162F57"/>
    <w:rsid w:val="001645E5"/>
    <w:rsid w:val="001650BC"/>
    <w:rsid w:val="0016512D"/>
    <w:rsid w:val="00165189"/>
    <w:rsid w:val="001654B6"/>
    <w:rsid w:val="001657F0"/>
    <w:rsid w:val="00165BD0"/>
    <w:rsid w:val="001660FE"/>
    <w:rsid w:val="0016724A"/>
    <w:rsid w:val="00170A3C"/>
    <w:rsid w:val="00170D1A"/>
    <w:rsid w:val="001710C9"/>
    <w:rsid w:val="00171B4B"/>
    <w:rsid w:val="00174BEA"/>
    <w:rsid w:val="00175F4A"/>
    <w:rsid w:val="00176457"/>
    <w:rsid w:val="001764C3"/>
    <w:rsid w:val="00177EE9"/>
    <w:rsid w:val="00180529"/>
    <w:rsid w:val="001816F5"/>
    <w:rsid w:val="00181F55"/>
    <w:rsid w:val="00182119"/>
    <w:rsid w:val="00182425"/>
    <w:rsid w:val="001829A3"/>
    <w:rsid w:val="00182F95"/>
    <w:rsid w:val="00183042"/>
    <w:rsid w:val="001842EA"/>
    <w:rsid w:val="0019093D"/>
    <w:rsid w:val="001911C5"/>
    <w:rsid w:val="0019306F"/>
    <w:rsid w:val="001948FE"/>
    <w:rsid w:val="00194CC6"/>
    <w:rsid w:val="0019511B"/>
    <w:rsid w:val="00195803"/>
    <w:rsid w:val="0019600D"/>
    <w:rsid w:val="00196898"/>
    <w:rsid w:val="001969FE"/>
    <w:rsid w:val="00196F30"/>
    <w:rsid w:val="001A0066"/>
    <w:rsid w:val="001A02AB"/>
    <w:rsid w:val="001A0A71"/>
    <w:rsid w:val="001A0B66"/>
    <w:rsid w:val="001A0C8B"/>
    <w:rsid w:val="001A1075"/>
    <w:rsid w:val="001A1874"/>
    <w:rsid w:val="001A2B6F"/>
    <w:rsid w:val="001A2FC6"/>
    <w:rsid w:val="001A3294"/>
    <w:rsid w:val="001A4DAD"/>
    <w:rsid w:val="001A6E6A"/>
    <w:rsid w:val="001A75D6"/>
    <w:rsid w:val="001A7EF3"/>
    <w:rsid w:val="001B21F5"/>
    <w:rsid w:val="001B2775"/>
    <w:rsid w:val="001B4585"/>
    <w:rsid w:val="001B51B6"/>
    <w:rsid w:val="001B694C"/>
    <w:rsid w:val="001B6C00"/>
    <w:rsid w:val="001B7164"/>
    <w:rsid w:val="001C1523"/>
    <w:rsid w:val="001C24CC"/>
    <w:rsid w:val="001C5A68"/>
    <w:rsid w:val="001C6FAD"/>
    <w:rsid w:val="001C7E06"/>
    <w:rsid w:val="001C7E1D"/>
    <w:rsid w:val="001D0D92"/>
    <w:rsid w:val="001D2010"/>
    <w:rsid w:val="001D28F1"/>
    <w:rsid w:val="001D2BD1"/>
    <w:rsid w:val="001D3188"/>
    <w:rsid w:val="001D4E65"/>
    <w:rsid w:val="001D5B3A"/>
    <w:rsid w:val="001D5D2B"/>
    <w:rsid w:val="001D6025"/>
    <w:rsid w:val="001E0A01"/>
    <w:rsid w:val="001E20E2"/>
    <w:rsid w:val="001E239A"/>
    <w:rsid w:val="001E32B9"/>
    <w:rsid w:val="001E4D9E"/>
    <w:rsid w:val="001E7427"/>
    <w:rsid w:val="001F0445"/>
    <w:rsid w:val="001F08A3"/>
    <w:rsid w:val="001F0CDB"/>
    <w:rsid w:val="001F1284"/>
    <w:rsid w:val="001F19B2"/>
    <w:rsid w:val="001F19D6"/>
    <w:rsid w:val="001F222E"/>
    <w:rsid w:val="001F4566"/>
    <w:rsid w:val="001F4D6F"/>
    <w:rsid w:val="001F5218"/>
    <w:rsid w:val="001F5423"/>
    <w:rsid w:val="001F5E1C"/>
    <w:rsid w:val="001F63C4"/>
    <w:rsid w:val="001F667F"/>
    <w:rsid w:val="001F680A"/>
    <w:rsid w:val="001F7F25"/>
    <w:rsid w:val="001F7F8F"/>
    <w:rsid w:val="002006CC"/>
    <w:rsid w:val="0020166E"/>
    <w:rsid w:val="00201E4B"/>
    <w:rsid w:val="00201E4C"/>
    <w:rsid w:val="00201EC8"/>
    <w:rsid w:val="002026F7"/>
    <w:rsid w:val="0020314D"/>
    <w:rsid w:val="002031BF"/>
    <w:rsid w:val="00203597"/>
    <w:rsid w:val="0020462D"/>
    <w:rsid w:val="0020553C"/>
    <w:rsid w:val="0020675F"/>
    <w:rsid w:val="00210160"/>
    <w:rsid w:val="00210FFA"/>
    <w:rsid w:val="0021161B"/>
    <w:rsid w:val="0021197D"/>
    <w:rsid w:val="00211A56"/>
    <w:rsid w:val="00211A92"/>
    <w:rsid w:val="00213020"/>
    <w:rsid w:val="00214327"/>
    <w:rsid w:val="00215B27"/>
    <w:rsid w:val="00220C7C"/>
    <w:rsid w:val="002214A5"/>
    <w:rsid w:val="002217B8"/>
    <w:rsid w:val="00221EEB"/>
    <w:rsid w:val="00222374"/>
    <w:rsid w:val="00222A52"/>
    <w:rsid w:val="00223840"/>
    <w:rsid w:val="0022476B"/>
    <w:rsid w:val="002250C2"/>
    <w:rsid w:val="00226406"/>
    <w:rsid w:val="002265EB"/>
    <w:rsid w:val="0022759A"/>
    <w:rsid w:val="002325C9"/>
    <w:rsid w:val="002329A8"/>
    <w:rsid w:val="00234E6E"/>
    <w:rsid w:val="00235A02"/>
    <w:rsid w:val="00235FC7"/>
    <w:rsid w:val="002366D2"/>
    <w:rsid w:val="00236F73"/>
    <w:rsid w:val="0024027B"/>
    <w:rsid w:val="00241F86"/>
    <w:rsid w:val="00242ADC"/>
    <w:rsid w:val="00242B51"/>
    <w:rsid w:val="00242B84"/>
    <w:rsid w:val="00243FC9"/>
    <w:rsid w:val="00244215"/>
    <w:rsid w:val="00245E3E"/>
    <w:rsid w:val="00247956"/>
    <w:rsid w:val="00252DFE"/>
    <w:rsid w:val="002557B6"/>
    <w:rsid w:val="00256236"/>
    <w:rsid w:val="002569DC"/>
    <w:rsid w:val="00257CCB"/>
    <w:rsid w:val="00257E71"/>
    <w:rsid w:val="002602B4"/>
    <w:rsid w:val="00260369"/>
    <w:rsid w:val="002615B0"/>
    <w:rsid w:val="00261F80"/>
    <w:rsid w:val="00262E42"/>
    <w:rsid w:val="00264204"/>
    <w:rsid w:val="00264DF0"/>
    <w:rsid w:val="00265423"/>
    <w:rsid w:val="00266388"/>
    <w:rsid w:val="00267970"/>
    <w:rsid w:val="00267C6D"/>
    <w:rsid w:val="00267DBF"/>
    <w:rsid w:val="002700F0"/>
    <w:rsid w:val="00270330"/>
    <w:rsid w:val="00271006"/>
    <w:rsid w:val="00271279"/>
    <w:rsid w:val="0027147E"/>
    <w:rsid w:val="0027181E"/>
    <w:rsid w:val="00271958"/>
    <w:rsid w:val="00272533"/>
    <w:rsid w:val="002725DB"/>
    <w:rsid w:val="002734A6"/>
    <w:rsid w:val="00274CEF"/>
    <w:rsid w:val="00275B2F"/>
    <w:rsid w:val="00275C72"/>
    <w:rsid w:val="00275C93"/>
    <w:rsid w:val="00276D31"/>
    <w:rsid w:val="0027778E"/>
    <w:rsid w:val="0028047E"/>
    <w:rsid w:val="0028099F"/>
    <w:rsid w:val="00280E65"/>
    <w:rsid w:val="00280EBF"/>
    <w:rsid w:val="00282FFB"/>
    <w:rsid w:val="00283109"/>
    <w:rsid w:val="002850E6"/>
    <w:rsid w:val="002859D9"/>
    <w:rsid w:val="0028608B"/>
    <w:rsid w:val="00286440"/>
    <w:rsid w:val="002864DD"/>
    <w:rsid w:val="002867AD"/>
    <w:rsid w:val="0028715D"/>
    <w:rsid w:val="002873B8"/>
    <w:rsid w:val="00291DDB"/>
    <w:rsid w:val="00291E09"/>
    <w:rsid w:val="0029266C"/>
    <w:rsid w:val="00292D4F"/>
    <w:rsid w:val="00294B4C"/>
    <w:rsid w:val="00294B8F"/>
    <w:rsid w:val="00294C14"/>
    <w:rsid w:val="002952DF"/>
    <w:rsid w:val="0029591C"/>
    <w:rsid w:val="002A06BF"/>
    <w:rsid w:val="002A125E"/>
    <w:rsid w:val="002A17D9"/>
    <w:rsid w:val="002A2152"/>
    <w:rsid w:val="002A2C67"/>
    <w:rsid w:val="002A341D"/>
    <w:rsid w:val="002A4258"/>
    <w:rsid w:val="002A53A2"/>
    <w:rsid w:val="002A5EC4"/>
    <w:rsid w:val="002B08E8"/>
    <w:rsid w:val="002B1FDF"/>
    <w:rsid w:val="002B24DA"/>
    <w:rsid w:val="002B287E"/>
    <w:rsid w:val="002B2CDD"/>
    <w:rsid w:val="002B41ED"/>
    <w:rsid w:val="002B51EB"/>
    <w:rsid w:val="002B5EAF"/>
    <w:rsid w:val="002B61A5"/>
    <w:rsid w:val="002B61C2"/>
    <w:rsid w:val="002B6703"/>
    <w:rsid w:val="002B6911"/>
    <w:rsid w:val="002C02B2"/>
    <w:rsid w:val="002C03ED"/>
    <w:rsid w:val="002C101C"/>
    <w:rsid w:val="002C1885"/>
    <w:rsid w:val="002C1B32"/>
    <w:rsid w:val="002C1EB5"/>
    <w:rsid w:val="002C20E6"/>
    <w:rsid w:val="002C255D"/>
    <w:rsid w:val="002C3F04"/>
    <w:rsid w:val="002C4008"/>
    <w:rsid w:val="002C6A3E"/>
    <w:rsid w:val="002C6E34"/>
    <w:rsid w:val="002C6EA8"/>
    <w:rsid w:val="002D0885"/>
    <w:rsid w:val="002D1A74"/>
    <w:rsid w:val="002D1FEF"/>
    <w:rsid w:val="002D26D7"/>
    <w:rsid w:val="002D27DE"/>
    <w:rsid w:val="002D2FDC"/>
    <w:rsid w:val="002D32A6"/>
    <w:rsid w:val="002D35F2"/>
    <w:rsid w:val="002D3648"/>
    <w:rsid w:val="002D3D0D"/>
    <w:rsid w:val="002D4530"/>
    <w:rsid w:val="002D466D"/>
    <w:rsid w:val="002D4FB4"/>
    <w:rsid w:val="002D50C3"/>
    <w:rsid w:val="002D726A"/>
    <w:rsid w:val="002E2A76"/>
    <w:rsid w:val="002E3AA4"/>
    <w:rsid w:val="002E4A53"/>
    <w:rsid w:val="002E588C"/>
    <w:rsid w:val="002E5B59"/>
    <w:rsid w:val="002E6061"/>
    <w:rsid w:val="002E7007"/>
    <w:rsid w:val="002E7F0F"/>
    <w:rsid w:val="002F0972"/>
    <w:rsid w:val="002F0CBE"/>
    <w:rsid w:val="002F27AE"/>
    <w:rsid w:val="002F2C5D"/>
    <w:rsid w:val="002F32C4"/>
    <w:rsid w:val="002F50CA"/>
    <w:rsid w:val="002F63FC"/>
    <w:rsid w:val="002F695D"/>
    <w:rsid w:val="002F69F7"/>
    <w:rsid w:val="002F7D21"/>
    <w:rsid w:val="0030188B"/>
    <w:rsid w:val="00301905"/>
    <w:rsid w:val="003023FB"/>
    <w:rsid w:val="00302E37"/>
    <w:rsid w:val="0030325F"/>
    <w:rsid w:val="00303268"/>
    <w:rsid w:val="00304CAE"/>
    <w:rsid w:val="003052A7"/>
    <w:rsid w:val="003052E5"/>
    <w:rsid w:val="003058F8"/>
    <w:rsid w:val="00305B69"/>
    <w:rsid w:val="00307CDD"/>
    <w:rsid w:val="00311C70"/>
    <w:rsid w:val="0031243D"/>
    <w:rsid w:val="0031327F"/>
    <w:rsid w:val="003135CF"/>
    <w:rsid w:val="003158A3"/>
    <w:rsid w:val="003159FF"/>
    <w:rsid w:val="00315D1C"/>
    <w:rsid w:val="00316ABC"/>
    <w:rsid w:val="0032041D"/>
    <w:rsid w:val="003210DA"/>
    <w:rsid w:val="0032333C"/>
    <w:rsid w:val="00323632"/>
    <w:rsid w:val="00323797"/>
    <w:rsid w:val="00323D58"/>
    <w:rsid w:val="00324485"/>
    <w:rsid w:val="00325230"/>
    <w:rsid w:val="003253DB"/>
    <w:rsid w:val="003259D8"/>
    <w:rsid w:val="003262D0"/>
    <w:rsid w:val="003265BA"/>
    <w:rsid w:val="00327450"/>
    <w:rsid w:val="00330984"/>
    <w:rsid w:val="00331161"/>
    <w:rsid w:val="003312AF"/>
    <w:rsid w:val="003313C1"/>
    <w:rsid w:val="0033204E"/>
    <w:rsid w:val="00333554"/>
    <w:rsid w:val="00334250"/>
    <w:rsid w:val="00334675"/>
    <w:rsid w:val="00335B6F"/>
    <w:rsid w:val="00335E39"/>
    <w:rsid w:val="00335E6E"/>
    <w:rsid w:val="00335F31"/>
    <w:rsid w:val="0033760C"/>
    <w:rsid w:val="00337C96"/>
    <w:rsid w:val="003413A0"/>
    <w:rsid w:val="00342C20"/>
    <w:rsid w:val="00343E4A"/>
    <w:rsid w:val="00344BED"/>
    <w:rsid w:val="00345008"/>
    <w:rsid w:val="00345038"/>
    <w:rsid w:val="00346C80"/>
    <w:rsid w:val="00347723"/>
    <w:rsid w:val="0035004A"/>
    <w:rsid w:val="00350126"/>
    <w:rsid w:val="00350359"/>
    <w:rsid w:val="0035052E"/>
    <w:rsid w:val="00351768"/>
    <w:rsid w:val="003525A2"/>
    <w:rsid w:val="00352EDA"/>
    <w:rsid w:val="003544CE"/>
    <w:rsid w:val="00354B8C"/>
    <w:rsid w:val="0035568B"/>
    <w:rsid w:val="0035723A"/>
    <w:rsid w:val="003573F6"/>
    <w:rsid w:val="00357DAC"/>
    <w:rsid w:val="00360986"/>
    <w:rsid w:val="0036223F"/>
    <w:rsid w:val="0036234B"/>
    <w:rsid w:val="00364F56"/>
    <w:rsid w:val="003660DB"/>
    <w:rsid w:val="003672BA"/>
    <w:rsid w:val="003702E6"/>
    <w:rsid w:val="003703C7"/>
    <w:rsid w:val="003714D9"/>
    <w:rsid w:val="003734F3"/>
    <w:rsid w:val="00376138"/>
    <w:rsid w:val="0037692C"/>
    <w:rsid w:val="003819C5"/>
    <w:rsid w:val="00381C60"/>
    <w:rsid w:val="00383FBF"/>
    <w:rsid w:val="00384376"/>
    <w:rsid w:val="003847CB"/>
    <w:rsid w:val="00385D59"/>
    <w:rsid w:val="0038669B"/>
    <w:rsid w:val="0038773C"/>
    <w:rsid w:val="00387D08"/>
    <w:rsid w:val="00387E10"/>
    <w:rsid w:val="00391F1F"/>
    <w:rsid w:val="00392C6B"/>
    <w:rsid w:val="00392D36"/>
    <w:rsid w:val="00392EC5"/>
    <w:rsid w:val="00393EC3"/>
    <w:rsid w:val="00394A5A"/>
    <w:rsid w:val="003979B0"/>
    <w:rsid w:val="003A00F5"/>
    <w:rsid w:val="003A01A7"/>
    <w:rsid w:val="003A022E"/>
    <w:rsid w:val="003A0457"/>
    <w:rsid w:val="003A066B"/>
    <w:rsid w:val="003A092A"/>
    <w:rsid w:val="003A18CA"/>
    <w:rsid w:val="003A361E"/>
    <w:rsid w:val="003A5769"/>
    <w:rsid w:val="003A73C7"/>
    <w:rsid w:val="003B0F5C"/>
    <w:rsid w:val="003B1451"/>
    <w:rsid w:val="003B145E"/>
    <w:rsid w:val="003B1978"/>
    <w:rsid w:val="003B2BBD"/>
    <w:rsid w:val="003B33EC"/>
    <w:rsid w:val="003B4A8A"/>
    <w:rsid w:val="003B4DE8"/>
    <w:rsid w:val="003B5A14"/>
    <w:rsid w:val="003B62EE"/>
    <w:rsid w:val="003C0441"/>
    <w:rsid w:val="003C0BAF"/>
    <w:rsid w:val="003C1136"/>
    <w:rsid w:val="003C1AD7"/>
    <w:rsid w:val="003C27A6"/>
    <w:rsid w:val="003C37BA"/>
    <w:rsid w:val="003C412F"/>
    <w:rsid w:val="003C4EF0"/>
    <w:rsid w:val="003C504B"/>
    <w:rsid w:val="003C5B50"/>
    <w:rsid w:val="003C63AE"/>
    <w:rsid w:val="003C7004"/>
    <w:rsid w:val="003C7386"/>
    <w:rsid w:val="003C7740"/>
    <w:rsid w:val="003C788B"/>
    <w:rsid w:val="003C793A"/>
    <w:rsid w:val="003C7E85"/>
    <w:rsid w:val="003D0CAA"/>
    <w:rsid w:val="003D1203"/>
    <w:rsid w:val="003D16B4"/>
    <w:rsid w:val="003D1EF7"/>
    <w:rsid w:val="003D23C4"/>
    <w:rsid w:val="003D30CF"/>
    <w:rsid w:val="003D3867"/>
    <w:rsid w:val="003D3C69"/>
    <w:rsid w:val="003D3DA9"/>
    <w:rsid w:val="003D4109"/>
    <w:rsid w:val="003D41AF"/>
    <w:rsid w:val="003D4426"/>
    <w:rsid w:val="003D4DCB"/>
    <w:rsid w:val="003D6CE7"/>
    <w:rsid w:val="003D7064"/>
    <w:rsid w:val="003D7DAF"/>
    <w:rsid w:val="003E1189"/>
    <w:rsid w:val="003E1782"/>
    <w:rsid w:val="003E2232"/>
    <w:rsid w:val="003E2796"/>
    <w:rsid w:val="003E38BE"/>
    <w:rsid w:val="003E41A8"/>
    <w:rsid w:val="003E4C7C"/>
    <w:rsid w:val="003E526E"/>
    <w:rsid w:val="003E678D"/>
    <w:rsid w:val="003E6E81"/>
    <w:rsid w:val="003E7D6C"/>
    <w:rsid w:val="003F00F9"/>
    <w:rsid w:val="003F041E"/>
    <w:rsid w:val="003F0CC4"/>
    <w:rsid w:val="003F36D4"/>
    <w:rsid w:val="003F3A4A"/>
    <w:rsid w:val="003F3D31"/>
    <w:rsid w:val="003F6CB3"/>
    <w:rsid w:val="003F6EDF"/>
    <w:rsid w:val="003F7364"/>
    <w:rsid w:val="003F76BD"/>
    <w:rsid w:val="0040044D"/>
    <w:rsid w:val="004004DD"/>
    <w:rsid w:val="004015F6"/>
    <w:rsid w:val="00402190"/>
    <w:rsid w:val="00402567"/>
    <w:rsid w:val="00402C37"/>
    <w:rsid w:val="00402D7C"/>
    <w:rsid w:val="004034CE"/>
    <w:rsid w:val="00403611"/>
    <w:rsid w:val="0040367B"/>
    <w:rsid w:val="00404058"/>
    <w:rsid w:val="00406812"/>
    <w:rsid w:val="00407A5A"/>
    <w:rsid w:val="0041106C"/>
    <w:rsid w:val="00411C10"/>
    <w:rsid w:val="00412B93"/>
    <w:rsid w:val="00412F72"/>
    <w:rsid w:val="0041362D"/>
    <w:rsid w:val="00413637"/>
    <w:rsid w:val="00413B01"/>
    <w:rsid w:val="004143DF"/>
    <w:rsid w:val="004147A0"/>
    <w:rsid w:val="00415C9C"/>
    <w:rsid w:val="00417973"/>
    <w:rsid w:val="00417B94"/>
    <w:rsid w:val="00420082"/>
    <w:rsid w:val="00420A33"/>
    <w:rsid w:val="004211BC"/>
    <w:rsid w:val="00422CC3"/>
    <w:rsid w:val="004238A7"/>
    <w:rsid w:val="004252DA"/>
    <w:rsid w:val="004260C0"/>
    <w:rsid w:val="00430A9F"/>
    <w:rsid w:val="004321DB"/>
    <w:rsid w:val="0043558C"/>
    <w:rsid w:val="00435F0A"/>
    <w:rsid w:val="004360E4"/>
    <w:rsid w:val="004377D6"/>
    <w:rsid w:val="0044009B"/>
    <w:rsid w:val="004435D5"/>
    <w:rsid w:val="00445144"/>
    <w:rsid w:val="00447524"/>
    <w:rsid w:val="0044762F"/>
    <w:rsid w:val="00450856"/>
    <w:rsid w:val="004508E9"/>
    <w:rsid w:val="004534DD"/>
    <w:rsid w:val="00455E7C"/>
    <w:rsid w:val="00457581"/>
    <w:rsid w:val="0046158F"/>
    <w:rsid w:val="00461A91"/>
    <w:rsid w:val="00462311"/>
    <w:rsid w:val="00462441"/>
    <w:rsid w:val="00462A87"/>
    <w:rsid w:val="00462E8F"/>
    <w:rsid w:val="00463068"/>
    <w:rsid w:val="0046351C"/>
    <w:rsid w:val="00463C7E"/>
    <w:rsid w:val="00465A05"/>
    <w:rsid w:val="004664C2"/>
    <w:rsid w:val="0046673C"/>
    <w:rsid w:val="004671FD"/>
    <w:rsid w:val="00467FAD"/>
    <w:rsid w:val="00470096"/>
    <w:rsid w:val="004707A2"/>
    <w:rsid w:val="00471B72"/>
    <w:rsid w:val="0047265F"/>
    <w:rsid w:val="00472D8D"/>
    <w:rsid w:val="0047345E"/>
    <w:rsid w:val="00474847"/>
    <w:rsid w:val="0047574F"/>
    <w:rsid w:val="004767A1"/>
    <w:rsid w:val="004809D6"/>
    <w:rsid w:val="00480CC1"/>
    <w:rsid w:val="004817E6"/>
    <w:rsid w:val="00482105"/>
    <w:rsid w:val="004826AC"/>
    <w:rsid w:val="00484DCF"/>
    <w:rsid w:val="004850D5"/>
    <w:rsid w:val="004859BB"/>
    <w:rsid w:val="00486091"/>
    <w:rsid w:val="00486183"/>
    <w:rsid w:val="004867C5"/>
    <w:rsid w:val="00486EA5"/>
    <w:rsid w:val="0048782A"/>
    <w:rsid w:val="00487E7C"/>
    <w:rsid w:val="0049035B"/>
    <w:rsid w:val="004910FD"/>
    <w:rsid w:val="004926A4"/>
    <w:rsid w:val="00492DFD"/>
    <w:rsid w:val="00492F66"/>
    <w:rsid w:val="00493348"/>
    <w:rsid w:val="00493825"/>
    <w:rsid w:val="00494173"/>
    <w:rsid w:val="004941DA"/>
    <w:rsid w:val="00494445"/>
    <w:rsid w:val="00495348"/>
    <w:rsid w:val="0049563D"/>
    <w:rsid w:val="0049787D"/>
    <w:rsid w:val="004A13DB"/>
    <w:rsid w:val="004A1872"/>
    <w:rsid w:val="004A1B03"/>
    <w:rsid w:val="004A251B"/>
    <w:rsid w:val="004A292A"/>
    <w:rsid w:val="004A36B2"/>
    <w:rsid w:val="004A46F5"/>
    <w:rsid w:val="004A489A"/>
    <w:rsid w:val="004A4C1A"/>
    <w:rsid w:val="004A578C"/>
    <w:rsid w:val="004A57A8"/>
    <w:rsid w:val="004A5C4A"/>
    <w:rsid w:val="004A6DC8"/>
    <w:rsid w:val="004A7018"/>
    <w:rsid w:val="004B0AD7"/>
    <w:rsid w:val="004B11F2"/>
    <w:rsid w:val="004B1692"/>
    <w:rsid w:val="004B2030"/>
    <w:rsid w:val="004B4C4B"/>
    <w:rsid w:val="004B4CAF"/>
    <w:rsid w:val="004B51C4"/>
    <w:rsid w:val="004B524A"/>
    <w:rsid w:val="004B5A16"/>
    <w:rsid w:val="004B60CF"/>
    <w:rsid w:val="004B629A"/>
    <w:rsid w:val="004B6ED9"/>
    <w:rsid w:val="004C0641"/>
    <w:rsid w:val="004C1589"/>
    <w:rsid w:val="004C2777"/>
    <w:rsid w:val="004C2CEA"/>
    <w:rsid w:val="004C57F9"/>
    <w:rsid w:val="004C5B18"/>
    <w:rsid w:val="004C74D2"/>
    <w:rsid w:val="004D00EE"/>
    <w:rsid w:val="004D0417"/>
    <w:rsid w:val="004D0457"/>
    <w:rsid w:val="004D0904"/>
    <w:rsid w:val="004D1A0F"/>
    <w:rsid w:val="004D1AB2"/>
    <w:rsid w:val="004D1B2F"/>
    <w:rsid w:val="004D224B"/>
    <w:rsid w:val="004D33E8"/>
    <w:rsid w:val="004D61C2"/>
    <w:rsid w:val="004D6691"/>
    <w:rsid w:val="004D6A75"/>
    <w:rsid w:val="004D7F76"/>
    <w:rsid w:val="004E00B9"/>
    <w:rsid w:val="004E04F8"/>
    <w:rsid w:val="004E0820"/>
    <w:rsid w:val="004E0B89"/>
    <w:rsid w:val="004E181F"/>
    <w:rsid w:val="004E1CE0"/>
    <w:rsid w:val="004E1E80"/>
    <w:rsid w:val="004E23B7"/>
    <w:rsid w:val="004E2836"/>
    <w:rsid w:val="004E2E02"/>
    <w:rsid w:val="004E3BB3"/>
    <w:rsid w:val="004E43D1"/>
    <w:rsid w:val="004E55B0"/>
    <w:rsid w:val="004E5672"/>
    <w:rsid w:val="004E5CD0"/>
    <w:rsid w:val="004E7CA0"/>
    <w:rsid w:val="004F2448"/>
    <w:rsid w:val="004F2731"/>
    <w:rsid w:val="004F3B3C"/>
    <w:rsid w:val="004F3E88"/>
    <w:rsid w:val="004F4EEC"/>
    <w:rsid w:val="004F511C"/>
    <w:rsid w:val="004F5520"/>
    <w:rsid w:val="004F5A91"/>
    <w:rsid w:val="004F64BA"/>
    <w:rsid w:val="004F7374"/>
    <w:rsid w:val="004F7EA8"/>
    <w:rsid w:val="0050010F"/>
    <w:rsid w:val="005007A4"/>
    <w:rsid w:val="00501445"/>
    <w:rsid w:val="00502808"/>
    <w:rsid w:val="005033B1"/>
    <w:rsid w:val="00504E99"/>
    <w:rsid w:val="00506F22"/>
    <w:rsid w:val="00507B53"/>
    <w:rsid w:val="00510D7B"/>
    <w:rsid w:val="00511F1D"/>
    <w:rsid w:val="005130FD"/>
    <w:rsid w:val="00513B39"/>
    <w:rsid w:val="00517BEF"/>
    <w:rsid w:val="00520349"/>
    <w:rsid w:val="0052112B"/>
    <w:rsid w:val="005217A5"/>
    <w:rsid w:val="00522BEB"/>
    <w:rsid w:val="00523CE6"/>
    <w:rsid w:val="00523F7B"/>
    <w:rsid w:val="0052411D"/>
    <w:rsid w:val="00524526"/>
    <w:rsid w:val="00524557"/>
    <w:rsid w:val="0052455A"/>
    <w:rsid w:val="00525B43"/>
    <w:rsid w:val="00525EDA"/>
    <w:rsid w:val="00527032"/>
    <w:rsid w:val="00527466"/>
    <w:rsid w:val="005306B5"/>
    <w:rsid w:val="005307CC"/>
    <w:rsid w:val="00530B3B"/>
    <w:rsid w:val="00531E70"/>
    <w:rsid w:val="00532432"/>
    <w:rsid w:val="00532F02"/>
    <w:rsid w:val="0053360A"/>
    <w:rsid w:val="00533B4B"/>
    <w:rsid w:val="00534F33"/>
    <w:rsid w:val="0054109C"/>
    <w:rsid w:val="00542451"/>
    <w:rsid w:val="00542EF3"/>
    <w:rsid w:val="0054326F"/>
    <w:rsid w:val="00543654"/>
    <w:rsid w:val="00544DB2"/>
    <w:rsid w:val="00544E82"/>
    <w:rsid w:val="00545B2E"/>
    <w:rsid w:val="00545D2B"/>
    <w:rsid w:val="005470A4"/>
    <w:rsid w:val="00550327"/>
    <w:rsid w:val="00550678"/>
    <w:rsid w:val="00552408"/>
    <w:rsid w:val="00553000"/>
    <w:rsid w:val="0055303A"/>
    <w:rsid w:val="005535C4"/>
    <w:rsid w:val="00553BF8"/>
    <w:rsid w:val="00554F80"/>
    <w:rsid w:val="00555716"/>
    <w:rsid w:val="00555988"/>
    <w:rsid w:val="0055654F"/>
    <w:rsid w:val="00556879"/>
    <w:rsid w:val="00557B28"/>
    <w:rsid w:val="00561726"/>
    <w:rsid w:val="00561D00"/>
    <w:rsid w:val="00561FFB"/>
    <w:rsid w:val="0056383A"/>
    <w:rsid w:val="00563865"/>
    <w:rsid w:val="00566AE8"/>
    <w:rsid w:val="005677C0"/>
    <w:rsid w:val="005705FD"/>
    <w:rsid w:val="00570806"/>
    <w:rsid w:val="0057313F"/>
    <w:rsid w:val="00574801"/>
    <w:rsid w:val="00574E19"/>
    <w:rsid w:val="00576AFB"/>
    <w:rsid w:val="00580AAB"/>
    <w:rsid w:val="005819B3"/>
    <w:rsid w:val="00581D36"/>
    <w:rsid w:val="005829E0"/>
    <w:rsid w:val="00584FE4"/>
    <w:rsid w:val="0058553C"/>
    <w:rsid w:val="005857B1"/>
    <w:rsid w:val="005862D2"/>
    <w:rsid w:val="005900AD"/>
    <w:rsid w:val="00590D61"/>
    <w:rsid w:val="00591554"/>
    <w:rsid w:val="00592ACA"/>
    <w:rsid w:val="005934F1"/>
    <w:rsid w:val="0059356C"/>
    <w:rsid w:val="00594A78"/>
    <w:rsid w:val="00595359"/>
    <w:rsid w:val="00595635"/>
    <w:rsid w:val="00595C93"/>
    <w:rsid w:val="00595E80"/>
    <w:rsid w:val="00597EC1"/>
    <w:rsid w:val="005A0402"/>
    <w:rsid w:val="005A1E97"/>
    <w:rsid w:val="005A25AF"/>
    <w:rsid w:val="005A3EB7"/>
    <w:rsid w:val="005A48C7"/>
    <w:rsid w:val="005A4A99"/>
    <w:rsid w:val="005A4B7E"/>
    <w:rsid w:val="005A7F9B"/>
    <w:rsid w:val="005B0F3B"/>
    <w:rsid w:val="005B1003"/>
    <w:rsid w:val="005B282E"/>
    <w:rsid w:val="005B5678"/>
    <w:rsid w:val="005B5DD3"/>
    <w:rsid w:val="005B62A6"/>
    <w:rsid w:val="005B6716"/>
    <w:rsid w:val="005B70DB"/>
    <w:rsid w:val="005C05BC"/>
    <w:rsid w:val="005C0B2F"/>
    <w:rsid w:val="005C0E4F"/>
    <w:rsid w:val="005C105C"/>
    <w:rsid w:val="005C5E07"/>
    <w:rsid w:val="005C5FE2"/>
    <w:rsid w:val="005C6412"/>
    <w:rsid w:val="005C7437"/>
    <w:rsid w:val="005C766A"/>
    <w:rsid w:val="005C77B1"/>
    <w:rsid w:val="005C7BFF"/>
    <w:rsid w:val="005D0BDC"/>
    <w:rsid w:val="005D131E"/>
    <w:rsid w:val="005D1359"/>
    <w:rsid w:val="005D1ED9"/>
    <w:rsid w:val="005D23C6"/>
    <w:rsid w:val="005D2C60"/>
    <w:rsid w:val="005D30FA"/>
    <w:rsid w:val="005D4588"/>
    <w:rsid w:val="005D4A84"/>
    <w:rsid w:val="005D541E"/>
    <w:rsid w:val="005D5BB4"/>
    <w:rsid w:val="005D5E60"/>
    <w:rsid w:val="005D6C7B"/>
    <w:rsid w:val="005D6E44"/>
    <w:rsid w:val="005D7DBF"/>
    <w:rsid w:val="005D7EE7"/>
    <w:rsid w:val="005E05EE"/>
    <w:rsid w:val="005E0DFD"/>
    <w:rsid w:val="005E0F68"/>
    <w:rsid w:val="005E19E6"/>
    <w:rsid w:val="005E1CE5"/>
    <w:rsid w:val="005E353B"/>
    <w:rsid w:val="005E360D"/>
    <w:rsid w:val="005E3E44"/>
    <w:rsid w:val="005E42B3"/>
    <w:rsid w:val="005E7626"/>
    <w:rsid w:val="005F07BC"/>
    <w:rsid w:val="005F23CD"/>
    <w:rsid w:val="005F3710"/>
    <w:rsid w:val="005F38C8"/>
    <w:rsid w:val="005F3F41"/>
    <w:rsid w:val="005F441C"/>
    <w:rsid w:val="005F50ED"/>
    <w:rsid w:val="005F6252"/>
    <w:rsid w:val="005F6BD4"/>
    <w:rsid w:val="005F70C5"/>
    <w:rsid w:val="005F7644"/>
    <w:rsid w:val="00600D04"/>
    <w:rsid w:val="0060110B"/>
    <w:rsid w:val="00601598"/>
    <w:rsid w:val="00601723"/>
    <w:rsid w:val="00602094"/>
    <w:rsid w:val="00603AC7"/>
    <w:rsid w:val="006043EA"/>
    <w:rsid w:val="0060493C"/>
    <w:rsid w:val="006060F2"/>
    <w:rsid w:val="0060682D"/>
    <w:rsid w:val="0061011E"/>
    <w:rsid w:val="00610A57"/>
    <w:rsid w:val="00611709"/>
    <w:rsid w:val="00611FA0"/>
    <w:rsid w:val="0061204C"/>
    <w:rsid w:val="00612272"/>
    <w:rsid w:val="0061238E"/>
    <w:rsid w:val="0061298C"/>
    <w:rsid w:val="006136C4"/>
    <w:rsid w:val="00613DF5"/>
    <w:rsid w:val="006143B3"/>
    <w:rsid w:val="00614E27"/>
    <w:rsid w:val="0061505F"/>
    <w:rsid w:val="006163BC"/>
    <w:rsid w:val="0061696D"/>
    <w:rsid w:val="006179D8"/>
    <w:rsid w:val="00617C45"/>
    <w:rsid w:val="00617EA2"/>
    <w:rsid w:val="00620E84"/>
    <w:rsid w:val="00621D62"/>
    <w:rsid w:val="006226DF"/>
    <w:rsid w:val="00622C67"/>
    <w:rsid w:val="006239C1"/>
    <w:rsid w:val="0062471E"/>
    <w:rsid w:val="0062598B"/>
    <w:rsid w:val="00626D22"/>
    <w:rsid w:val="00626F31"/>
    <w:rsid w:val="00627C50"/>
    <w:rsid w:val="006301E7"/>
    <w:rsid w:val="00630F90"/>
    <w:rsid w:val="00630FB8"/>
    <w:rsid w:val="00632080"/>
    <w:rsid w:val="00633504"/>
    <w:rsid w:val="00633801"/>
    <w:rsid w:val="006338CB"/>
    <w:rsid w:val="00634F1F"/>
    <w:rsid w:val="00634FC2"/>
    <w:rsid w:val="006362E5"/>
    <w:rsid w:val="0063691B"/>
    <w:rsid w:val="0063705D"/>
    <w:rsid w:val="00637F9F"/>
    <w:rsid w:val="00640CDC"/>
    <w:rsid w:val="00642633"/>
    <w:rsid w:val="00642C6A"/>
    <w:rsid w:val="00643953"/>
    <w:rsid w:val="00643E4B"/>
    <w:rsid w:val="00644042"/>
    <w:rsid w:val="00645726"/>
    <w:rsid w:val="006459C7"/>
    <w:rsid w:val="00645D2D"/>
    <w:rsid w:val="0064639A"/>
    <w:rsid w:val="00646614"/>
    <w:rsid w:val="00647C8E"/>
    <w:rsid w:val="00650389"/>
    <w:rsid w:val="00650766"/>
    <w:rsid w:val="00650A12"/>
    <w:rsid w:val="006522AF"/>
    <w:rsid w:val="00652542"/>
    <w:rsid w:val="00653822"/>
    <w:rsid w:val="00653CD6"/>
    <w:rsid w:val="006548E3"/>
    <w:rsid w:val="0065498C"/>
    <w:rsid w:val="0065689D"/>
    <w:rsid w:val="00656CAA"/>
    <w:rsid w:val="0065749A"/>
    <w:rsid w:val="00657CCA"/>
    <w:rsid w:val="00657F09"/>
    <w:rsid w:val="00660357"/>
    <w:rsid w:val="00660B9E"/>
    <w:rsid w:val="00665149"/>
    <w:rsid w:val="00667713"/>
    <w:rsid w:val="00667986"/>
    <w:rsid w:val="00667CE4"/>
    <w:rsid w:val="006707D5"/>
    <w:rsid w:val="006711A0"/>
    <w:rsid w:val="00671E45"/>
    <w:rsid w:val="006723F2"/>
    <w:rsid w:val="006738C6"/>
    <w:rsid w:val="006739E0"/>
    <w:rsid w:val="0067452C"/>
    <w:rsid w:val="00674594"/>
    <w:rsid w:val="00677111"/>
    <w:rsid w:val="00677660"/>
    <w:rsid w:val="006820A0"/>
    <w:rsid w:val="006826CD"/>
    <w:rsid w:val="006831AB"/>
    <w:rsid w:val="00683781"/>
    <w:rsid w:val="00683E0C"/>
    <w:rsid w:val="006844B2"/>
    <w:rsid w:val="0068472B"/>
    <w:rsid w:val="00685796"/>
    <w:rsid w:val="00686791"/>
    <w:rsid w:val="00686864"/>
    <w:rsid w:val="0069042F"/>
    <w:rsid w:val="00690B35"/>
    <w:rsid w:val="006917AF"/>
    <w:rsid w:val="006921C5"/>
    <w:rsid w:val="00692246"/>
    <w:rsid w:val="00692C83"/>
    <w:rsid w:val="00693FB0"/>
    <w:rsid w:val="00694908"/>
    <w:rsid w:val="00695F3B"/>
    <w:rsid w:val="0069698D"/>
    <w:rsid w:val="0069790B"/>
    <w:rsid w:val="006A18B5"/>
    <w:rsid w:val="006A2553"/>
    <w:rsid w:val="006A2BC5"/>
    <w:rsid w:val="006A3258"/>
    <w:rsid w:val="006A3DF7"/>
    <w:rsid w:val="006A4A9E"/>
    <w:rsid w:val="006A513B"/>
    <w:rsid w:val="006A5E99"/>
    <w:rsid w:val="006A6AFD"/>
    <w:rsid w:val="006B01AA"/>
    <w:rsid w:val="006B0333"/>
    <w:rsid w:val="006B0678"/>
    <w:rsid w:val="006B3717"/>
    <w:rsid w:val="006B4D22"/>
    <w:rsid w:val="006B6459"/>
    <w:rsid w:val="006B6BFE"/>
    <w:rsid w:val="006B7B3B"/>
    <w:rsid w:val="006B7FA4"/>
    <w:rsid w:val="006C0D06"/>
    <w:rsid w:val="006C11C3"/>
    <w:rsid w:val="006C2483"/>
    <w:rsid w:val="006C3605"/>
    <w:rsid w:val="006C4261"/>
    <w:rsid w:val="006C4AD6"/>
    <w:rsid w:val="006C4BD4"/>
    <w:rsid w:val="006C4D4A"/>
    <w:rsid w:val="006C6DCE"/>
    <w:rsid w:val="006C6EC1"/>
    <w:rsid w:val="006C7353"/>
    <w:rsid w:val="006D035B"/>
    <w:rsid w:val="006D0CAD"/>
    <w:rsid w:val="006D0F00"/>
    <w:rsid w:val="006D1896"/>
    <w:rsid w:val="006D3D8B"/>
    <w:rsid w:val="006D3F06"/>
    <w:rsid w:val="006D433F"/>
    <w:rsid w:val="006D5961"/>
    <w:rsid w:val="006D5F38"/>
    <w:rsid w:val="006D6D34"/>
    <w:rsid w:val="006D77A1"/>
    <w:rsid w:val="006E0575"/>
    <w:rsid w:val="006E09C5"/>
    <w:rsid w:val="006E0BFF"/>
    <w:rsid w:val="006E132B"/>
    <w:rsid w:val="006E1679"/>
    <w:rsid w:val="006E1A7A"/>
    <w:rsid w:val="006E1B35"/>
    <w:rsid w:val="006E1D17"/>
    <w:rsid w:val="006E1E25"/>
    <w:rsid w:val="006E1F39"/>
    <w:rsid w:val="006E2EF3"/>
    <w:rsid w:val="006E4A43"/>
    <w:rsid w:val="006E4C6B"/>
    <w:rsid w:val="006E4D24"/>
    <w:rsid w:val="006E4E0C"/>
    <w:rsid w:val="006E59D0"/>
    <w:rsid w:val="006E5FCA"/>
    <w:rsid w:val="006E6286"/>
    <w:rsid w:val="006E6311"/>
    <w:rsid w:val="006E7488"/>
    <w:rsid w:val="006F03A5"/>
    <w:rsid w:val="006F0499"/>
    <w:rsid w:val="006F1ADD"/>
    <w:rsid w:val="006F1FB9"/>
    <w:rsid w:val="006F27B5"/>
    <w:rsid w:val="006F2B10"/>
    <w:rsid w:val="006F4181"/>
    <w:rsid w:val="006F63ED"/>
    <w:rsid w:val="006F6C81"/>
    <w:rsid w:val="006F73B3"/>
    <w:rsid w:val="006F7B0C"/>
    <w:rsid w:val="00700259"/>
    <w:rsid w:val="00701AC8"/>
    <w:rsid w:val="00701C9B"/>
    <w:rsid w:val="0070301E"/>
    <w:rsid w:val="00703470"/>
    <w:rsid w:val="00703F2D"/>
    <w:rsid w:val="00704227"/>
    <w:rsid w:val="00704948"/>
    <w:rsid w:val="00705EAD"/>
    <w:rsid w:val="007069D8"/>
    <w:rsid w:val="007075EA"/>
    <w:rsid w:val="00707987"/>
    <w:rsid w:val="00707BFF"/>
    <w:rsid w:val="007107C0"/>
    <w:rsid w:val="00710C75"/>
    <w:rsid w:val="00711030"/>
    <w:rsid w:val="007116D4"/>
    <w:rsid w:val="0071190B"/>
    <w:rsid w:val="007128D5"/>
    <w:rsid w:val="007128E5"/>
    <w:rsid w:val="00712C10"/>
    <w:rsid w:val="00713CCA"/>
    <w:rsid w:val="00714429"/>
    <w:rsid w:val="0071593E"/>
    <w:rsid w:val="007207B8"/>
    <w:rsid w:val="0072207E"/>
    <w:rsid w:val="0072255B"/>
    <w:rsid w:val="00724E99"/>
    <w:rsid w:val="0072546D"/>
    <w:rsid w:val="0072610D"/>
    <w:rsid w:val="00726B0E"/>
    <w:rsid w:val="00727395"/>
    <w:rsid w:val="00730914"/>
    <w:rsid w:val="007319D3"/>
    <w:rsid w:val="00732E84"/>
    <w:rsid w:val="007335A2"/>
    <w:rsid w:val="00734054"/>
    <w:rsid w:val="00734718"/>
    <w:rsid w:val="0073493E"/>
    <w:rsid w:val="00734B70"/>
    <w:rsid w:val="00735C5B"/>
    <w:rsid w:val="0073652C"/>
    <w:rsid w:val="007368AA"/>
    <w:rsid w:val="00736F46"/>
    <w:rsid w:val="0073778D"/>
    <w:rsid w:val="00737A27"/>
    <w:rsid w:val="00740C0E"/>
    <w:rsid w:val="007412B0"/>
    <w:rsid w:val="00741DFA"/>
    <w:rsid w:val="00745183"/>
    <w:rsid w:val="007478A5"/>
    <w:rsid w:val="00747BB0"/>
    <w:rsid w:val="007503BA"/>
    <w:rsid w:val="007516A9"/>
    <w:rsid w:val="00751BDE"/>
    <w:rsid w:val="007522AA"/>
    <w:rsid w:val="00752B6F"/>
    <w:rsid w:val="00754DC2"/>
    <w:rsid w:val="007571AD"/>
    <w:rsid w:val="00757A19"/>
    <w:rsid w:val="00757DB3"/>
    <w:rsid w:val="007616FA"/>
    <w:rsid w:val="00761C10"/>
    <w:rsid w:val="00763972"/>
    <w:rsid w:val="007639D3"/>
    <w:rsid w:val="00763ED4"/>
    <w:rsid w:val="007659DB"/>
    <w:rsid w:val="0076653F"/>
    <w:rsid w:val="0077013A"/>
    <w:rsid w:val="00770D69"/>
    <w:rsid w:val="007710D1"/>
    <w:rsid w:val="007716F5"/>
    <w:rsid w:val="007727CE"/>
    <w:rsid w:val="007728A7"/>
    <w:rsid w:val="00773B4F"/>
    <w:rsid w:val="007749A1"/>
    <w:rsid w:val="00775838"/>
    <w:rsid w:val="00775F4D"/>
    <w:rsid w:val="00776950"/>
    <w:rsid w:val="00777F18"/>
    <w:rsid w:val="0078100C"/>
    <w:rsid w:val="00781CEA"/>
    <w:rsid w:val="00782C03"/>
    <w:rsid w:val="0078398B"/>
    <w:rsid w:val="00783ADC"/>
    <w:rsid w:val="0078413C"/>
    <w:rsid w:val="00785CFC"/>
    <w:rsid w:val="00785DE2"/>
    <w:rsid w:val="00786468"/>
    <w:rsid w:val="007868CC"/>
    <w:rsid w:val="00786D2F"/>
    <w:rsid w:val="00787824"/>
    <w:rsid w:val="00787BAA"/>
    <w:rsid w:val="00791263"/>
    <w:rsid w:val="00792467"/>
    <w:rsid w:val="00792FF1"/>
    <w:rsid w:val="00793FF1"/>
    <w:rsid w:val="00794054"/>
    <w:rsid w:val="007953C3"/>
    <w:rsid w:val="00796AF5"/>
    <w:rsid w:val="00796BD9"/>
    <w:rsid w:val="007972BD"/>
    <w:rsid w:val="007A1A8B"/>
    <w:rsid w:val="007A1C13"/>
    <w:rsid w:val="007A2670"/>
    <w:rsid w:val="007A735E"/>
    <w:rsid w:val="007A75F8"/>
    <w:rsid w:val="007A7E38"/>
    <w:rsid w:val="007B03F2"/>
    <w:rsid w:val="007B08C3"/>
    <w:rsid w:val="007B0F05"/>
    <w:rsid w:val="007B10B4"/>
    <w:rsid w:val="007B2529"/>
    <w:rsid w:val="007B29D0"/>
    <w:rsid w:val="007B3E1B"/>
    <w:rsid w:val="007B4C52"/>
    <w:rsid w:val="007B4E1F"/>
    <w:rsid w:val="007B5317"/>
    <w:rsid w:val="007B67B4"/>
    <w:rsid w:val="007B6C55"/>
    <w:rsid w:val="007B7F19"/>
    <w:rsid w:val="007C1DB5"/>
    <w:rsid w:val="007C2A9B"/>
    <w:rsid w:val="007C3C92"/>
    <w:rsid w:val="007C3DBF"/>
    <w:rsid w:val="007C7403"/>
    <w:rsid w:val="007D0498"/>
    <w:rsid w:val="007D0BDA"/>
    <w:rsid w:val="007D14CF"/>
    <w:rsid w:val="007D2122"/>
    <w:rsid w:val="007D4877"/>
    <w:rsid w:val="007D4B41"/>
    <w:rsid w:val="007D6910"/>
    <w:rsid w:val="007E1257"/>
    <w:rsid w:val="007E3E36"/>
    <w:rsid w:val="007E40D8"/>
    <w:rsid w:val="007E41F6"/>
    <w:rsid w:val="007E494E"/>
    <w:rsid w:val="007E4A19"/>
    <w:rsid w:val="007E50A2"/>
    <w:rsid w:val="007E5D4F"/>
    <w:rsid w:val="007E5EF9"/>
    <w:rsid w:val="007E63D3"/>
    <w:rsid w:val="007E7522"/>
    <w:rsid w:val="007E7BE8"/>
    <w:rsid w:val="007F0246"/>
    <w:rsid w:val="007F19ED"/>
    <w:rsid w:val="007F321D"/>
    <w:rsid w:val="007F4A2D"/>
    <w:rsid w:val="007F546B"/>
    <w:rsid w:val="007F5846"/>
    <w:rsid w:val="007F5AF5"/>
    <w:rsid w:val="007F5D94"/>
    <w:rsid w:val="007F6A35"/>
    <w:rsid w:val="007F7A3E"/>
    <w:rsid w:val="00801279"/>
    <w:rsid w:val="00801B35"/>
    <w:rsid w:val="00804215"/>
    <w:rsid w:val="00807FD3"/>
    <w:rsid w:val="008101C4"/>
    <w:rsid w:val="00811084"/>
    <w:rsid w:val="00811F6F"/>
    <w:rsid w:val="008123FB"/>
    <w:rsid w:val="008157B1"/>
    <w:rsid w:val="008166CC"/>
    <w:rsid w:val="00816C0D"/>
    <w:rsid w:val="00817782"/>
    <w:rsid w:val="00817FD7"/>
    <w:rsid w:val="00821164"/>
    <w:rsid w:val="008215E7"/>
    <w:rsid w:val="00821985"/>
    <w:rsid w:val="00823BB0"/>
    <w:rsid w:val="008240D0"/>
    <w:rsid w:val="00824336"/>
    <w:rsid w:val="008254C3"/>
    <w:rsid w:val="00826C93"/>
    <w:rsid w:val="00827519"/>
    <w:rsid w:val="0083066F"/>
    <w:rsid w:val="0083132C"/>
    <w:rsid w:val="00832025"/>
    <w:rsid w:val="00832197"/>
    <w:rsid w:val="00833E6D"/>
    <w:rsid w:val="008343E9"/>
    <w:rsid w:val="00834982"/>
    <w:rsid w:val="008351B3"/>
    <w:rsid w:val="00836624"/>
    <w:rsid w:val="00836D97"/>
    <w:rsid w:val="00837732"/>
    <w:rsid w:val="00840D5E"/>
    <w:rsid w:val="00841274"/>
    <w:rsid w:val="008417D6"/>
    <w:rsid w:val="008420BB"/>
    <w:rsid w:val="00843EB9"/>
    <w:rsid w:val="00844AD3"/>
    <w:rsid w:val="00844CB1"/>
    <w:rsid w:val="00844EAA"/>
    <w:rsid w:val="008450C9"/>
    <w:rsid w:val="008450CD"/>
    <w:rsid w:val="008450FB"/>
    <w:rsid w:val="00845852"/>
    <w:rsid w:val="00845A23"/>
    <w:rsid w:val="0084692A"/>
    <w:rsid w:val="00847090"/>
    <w:rsid w:val="00850BE7"/>
    <w:rsid w:val="0085158B"/>
    <w:rsid w:val="00851F22"/>
    <w:rsid w:val="00852CF9"/>
    <w:rsid w:val="00853B01"/>
    <w:rsid w:val="008541C0"/>
    <w:rsid w:val="00856025"/>
    <w:rsid w:val="0085660F"/>
    <w:rsid w:val="00856ED7"/>
    <w:rsid w:val="00856EDD"/>
    <w:rsid w:val="00857749"/>
    <w:rsid w:val="00862196"/>
    <w:rsid w:val="00862F43"/>
    <w:rsid w:val="00866F0C"/>
    <w:rsid w:val="0086726B"/>
    <w:rsid w:val="00870485"/>
    <w:rsid w:val="00870AA2"/>
    <w:rsid w:val="00871181"/>
    <w:rsid w:val="008716F2"/>
    <w:rsid w:val="00871EB2"/>
    <w:rsid w:val="00871F4C"/>
    <w:rsid w:val="00872F0C"/>
    <w:rsid w:val="00873BF5"/>
    <w:rsid w:val="00873FE5"/>
    <w:rsid w:val="00874A2F"/>
    <w:rsid w:val="00875606"/>
    <w:rsid w:val="00875BA8"/>
    <w:rsid w:val="00875EB7"/>
    <w:rsid w:val="00876768"/>
    <w:rsid w:val="00876A71"/>
    <w:rsid w:val="008802BC"/>
    <w:rsid w:val="00880DED"/>
    <w:rsid w:val="008817AB"/>
    <w:rsid w:val="00881A4F"/>
    <w:rsid w:val="00881E8E"/>
    <w:rsid w:val="008822C3"/>
    <w:rsid w:val="00882632"/>
    <w:rsid w:val="00882A9E"/>
    <w:rsid w:val="00885027"/>
    <w:rsid w:val="0088579E"/>
    <w:rsid w:val="00885A78"/>
    <w:rsid w:val="00886CF7"/>
    <w:rsid w:val="008871DD"/>
    <w:rsid w:val="0088723C"/>
    <w:rsid w:val="00887FF6"/>
    <w:rsid w:val="00891344"/>
    <w:rsid w:val="00891854"/>
    <w:rsid w:val="00892675"/>
    <w:rsid w:val="0089332F"/>
    <w:rsid w:val="0089397B"/>
    <w:rsid w:val="00894587"/>
    <w:rsid w:val="00894FEB"/>
    <w:rsid w:val="00895D97"/>
    <w:rsid w:val="0089636C"/>
    <w:rsid w:val="008965E4"/>
    <w:rsid w:val="00896C35"/>
    <w:rsid w:val="00897D46"/>
    <w:rsid w:val="008A25D2"/>
    <w:rsid w:val="008A2771"/>
    <w:rsid w:val="008A2BB1"/>
    <w:rsid w:val="008A31D9"/>
    <w:rsid w:val="008A4902"/>
    <w:rsid w:val="008A5CEC"/>
    <w:rsid w:val="008A6142"/>
    <w:rsid w:val="008A61EF"/>
    <w:rsid w:val="008B056D"/>
    <w:rsid w:val="008B060C"/>
    <w:rsid w:val="008B273D"/>
    <w:rsid w:val="008B2F2D"/>
    <w:rsid w:val="008B322C"/>
    <w:rsid w:val="008B36BF"/>
    <w:rsid w:val="008B38E8"/>
    <w:rsid w:val="008B3CD2"/>
    <w:rsid w:val="008B41C0"/>
    <w:rsid w:val="008B4B7A"/>
    <w:rsid w:val="008B7286"/>
    <w:rsid w:val="008B72B8"/>
    <w:rsid w:val="008C06FA"/>
    <w:rsid w:val="008C3844"/>
    <w:rsid w:val="008C38C0"/>
    <w:rsid w:val="008C38E8"/>
    <w:rsid w:val="008C3B29"/>
    <w:rsid w:val="008C3BB1"/>
    <w:rsid w:val="008C5400"/>
    <w:rsid w:val="008C79D8"/>
    <w:rsid w:val="008D1995"/>
    <w:rsid w:val="008D1B82"/>
    <w:rsid w:val="008D5DDD"/>
    <w:rsid w:val="008D5F41"/>
    <w:rsid w:val="008D69FC"/>
    <w:rsid w:val="008D6FD3"/>
    <w:rsid w:val="008D7416"/>
    <w:rsid w:val="008D7CEE"/>
    <w:rsid w:val="008E2489"/>
    <w:rsid w:val="008E2DAA"/>
    <w:rsid w:val="008E33B0"/>
    <w:rsid w:val="008E3513"/>
    <w:rsid w:val="008E3660"/>
    <w:rsid w:val="008E40CB"/>
    <w:rsid w:val="008E444F"/>
    <w:rsid w:val="008E4D29"/>
    <w:rsid w:val="008E6E97"/>
    <w:rsid w:val="008E715F"/>
    <w:rsid w:val="008F0CC3"/>
    <w:rsid w:val="008F0FAA"/>
    <w:rsid w:val="008F1395"/>
    <w:rsid w:val="008F1740"/>
    <w:rsid w:val="008F1EC8"/>
    <w:rsid w:val="008F25B8"/>
    <w:rsid w:val="008F3F7D"/>
    <w:rsid w:val="008F465E"/>
    <w:rsid w:val="008F5ECA"/>
    <w:rsid w:val="00901503"/>
    <w:rsid w:val="00901943"/>
    <w:rsid w:val="00901F22"/>
    <w:rsid w:val="00902180"/>
    <w:rsid w:val="00902AAA"/>
    <w:rsid w:val="009049F5"/>
    <w:rsid w:val="00905742"/>
    <w:rsid w:val="00905D43"/>
    <w:rsid w:val="00907E77"/>
    <w:rsid w:val="0091093B"/>
    <w:rsid w:val="009109E9"/>
    <w:rsid w:val="00911586"/>
    <w:rsid w:val="00911CC1"/>
    <w:rsid w:val="0091227C"/>
    <w:rsid w:val="009136AB"/>
    <w:rsid w:val="009148F9"/>
    <w:rsid w:val="00914B73"/>
    <w:rsid w:val="00914DF3"/>
    <w:rsid w:val="00914F9A"/>
    <w:rsid w:val="0091640C"/>
    <w:rsid w:val="00916DDD"/>
    <w:rsid w:val="00917AC6"/>
    <w:rsid w:val="00920A21"/>
    <w:rsid w:val="00921773"/>
    <w:rsid w:val="00922BE1"/>
    <w:rsid w:val="00922FA6"/>
    <w:rsid w:val="009240E9"/>
    <w:rsid w:val="0092455E"/>
    <w:rsid w:val="00925285"/>
    <w:rsid w:val="00925772"/>
    <w:rsid w:val="00925A2D"/>
    <w:rsid w:val="009267A5"/>
    <w:rsid w:val="00927A56"/>
    <w:rsid w:val="009312F7"/>
    <w:rsid w:val="00931B43"/>
    <w:rsid w:val="0093216B"/>
    <w:rsid w:val="009338C5"/>
    <w:rsid w:val="00934B58"/>
    <w:rsid w:val="00934C97"/>
    <w:rsid w:val="00934D01"/>
    <w:rsid w:val="00935316"/>
    <w:rsid w:val="00935AE1"/>
    <w:rsid w:val="00937A99"/>
    <w:rsid w:val="00940182"/>
    <w:rsid w:val="00940CC7"/>
    <w:rsid w:val="0094268B"/>
    <w:rsid w:val="009430BE"/>
    <w:rsid w:val="00943987"/>
    <w:rsid w:val="00943E67"/>
    <w:rsid w:val="00945380"/>
    <w:rsid w:val="009474AC"/>
    <w:rsid w:val="00947788"/>
    <w:rsid w:val="009477D9"/>
    <w:rsid w:val="00947C43"/>
    <w:rsid w:val="009502E2"/>
    <w:rsid w:val="00950AD6"/>
    <w:rsid w:val="009515D7"/>
    <w:rsid w:val="009519A9"/>
    <w:rsid w:val="0095262D"/>
    <w:rsid w:val="009531E1"/>
    <w:rsid w:val="009547DE"/>
    <w:rsid w:val="00955129"/>
    <w:rsid w:val="00956947"/>
    <w:rsid w:val="00957EFC"/>
    <w:rsid w:val="00960854"/>
    <w:rsid w:val="00961744"/>
    <w:rsid w:val="00961E74"/>
    <w:rsid w:val="0096411C"/>
    <w:rsid w:val="00964C79"/>
    <w:rsid w:val="00965A1D"/>
    <w:rsid w:val="00965F58"/>
    <w:rsid w:val="00965F9C"/>
    <w:rsid w:val="009660E7"/>
    <w:rsid w:val="0096708F"/>
    <w:rsid w:val="009675D6"/>
    <w:rsid w:val="00967F51"/>
    <w:rsid w:val="0097107F"/>
    <w:rsid w:val="00971128"/>
    <w:rsid w:val="00971521"/>
    <w:rsid w:val="00971F3C"/>
    <w:rsid w:val="0097295F"/>
    <w:rsid w:val="00972D1D"/>
    <w:rsid w:val="0097424D"/>
    <w:rsid w:val="00974AE4"/>
    <w:rsid w:val="00975489"/>
    <w:rsid w:val="00975721"/>
    <w:rsid w:val="00975828"/>
    <w:rsid w:val="009769D0"/>
    <w:rsid w:val="00980DE0"/>
    <w:rsid w:val="00981389"/>
    <w:rsid w:val="00982731"/>
    <w:rsid w:val="009843E1"/>
    <w:rsid w:val="009847C5"/>
    <w:rsid w:val="009860A0"/>
    <w:rsid w:val="00986FE9"/>
    <w:rsid w:val="00987090"/>
    <w:rsid w:val="0098771D"/>
    <w:rsid w:val="0098781E"/>
    <w:rsid w:val="00987BE0"/>
    <w:rsid w:val="00987E50"/>
    <w:rsid w:val="0099028B"/>
    <w:rsid w:val="009902FE"/>
    <w:rsid w:val="00990408"/>
    <w:rsid w:val="00990DB7"/>
    <w:rsid w:val="0099122C"/>
    <w:rsid w:val="00991446"/>
    <w:rsid w:val="00991A8E"/>
    <w:rsid w:val="00992478"/>
    <w:rsid w:val="00992913"/>
    <w:rsid w:val="00992BFF"/>
    <w:rsid w:val="009941E7"/>
    <w:rsid w:val="0099424C"/>
    <w:rsid w:val="00994CDA"/>
    <w:rsid w:val="00994F3C"/>
    <w:rsid w:val="00995433"/>
    <w:rsid w:val="00996A63"/>
    <w:rsid w:val="00996BF0"/>
    <w:rsid w:val="00997039"/>
    <w:rsid w:val="00997116"/>
    <w:rsid w:val="009A07AC"/>
    <w:rsid w:val="009A0C06"/>
    <w:rsid w:val="009A0CCC"/>
    <w:rsid w:val="009A0F54"/>
    <w:rsid w:val="009A194A"/>
    <w:rsid w:val="009A1AA8"/>
    <w:rsid w:val="009A402D"/>
    <w:rsid w:val="009A4553"/>
    <w:rsid w:val="009A4ABB"/>
    <w:rsid w:val="009A526B"/>
    <w:rsid w:val="009A5935"/>
    <w:rsid w:val="009A6851"/>
    <w:rsid w:val="009A772D"/>
    <w:rsid w:val="009A77A4"/>
    <w:rsid w:val="009A78E5"/>
    <w:rsid w:val="009B043E"/>
    <w:rsid w:val="009B0C5D"/>
    <w:rsid w:val="009B15FD"/>
    <w:rsid w:val="009B23DC"/>
    <w:rsid w:val="009B505B"/>
    <w:rsid w:val="009B7371"/>
    <w:rsid w:val="009B77B2"/>
    <w:rsid w:val="009B7F92"/>
    <w:rsid w:val="009C0D17"/>
    <w:rsid w:val="009C17AB"/>
    <w:rsid w:val="009C1841"/>
    <w:rsid w:val="009C1CDA"/>
    <w:rsid w:val="009C1F85"/>
    <w:rsid w:val="009C4525"/>
    <w:rsid w:val="009C4551"/>
    <w:rsid w:val="009C644F"/>
    <w:rsid w:val="009C6D86"/>
    <w:rsid w:val="009C792B"/>
    <w:rsid w:val="009C7C51"/>
    <w:rsid w:val="009C7D0B"/>
    <w:rsid w:val="009D08E5"/>
    <w:rsid w:val="009D582B"/>
    <w:rsid w:val="009D5943"/>
    <w:rsid w:val="009D5EDF"/>
    <w:rsid w:val="009D6153"/>
    <w:rsid w:val="009D6C1C"/>
    <w:rsid w:val="009D6CDD"/>
    <w:rsid w:val="009E06CD"/>
    <w:rsid w:val="009E0C92"/>
    <w:rsid w:val="009E1CCE"/>
    <w:rsid w:val="009E1F5F"/>
    <w:rsid w:val="009E224A"/>
    <w:rsid w:val="009E319B"/>
    <w:rsid w:val="009E6009"/>
    <w:rsid w:val="009E62EF"/>
    <w:rsid w:val="009E7655"/>
    <w:rsid w:val="009F01B6"/>
    <w:rsid w:val="009F0EBA"/>
    <w:rsid w:val="009F14C4"/>
    <w:rsid w:val="009F1BC0"/>
    <w:rsid w:val="009F39DA"/>
    <w:rsid w:val="009F44FA"/>
    <w:rsid w:val="009F46AC"/>
    <w:rsid w:val="009F47A1"/>
    <w:rsid w:val="009F4C2B"/>
    <w:rsid w:val="009F64FB"/>
    <w:rsid w:val="009F6ACD"/>
    <w:rsid w:val="009F736F"/>
    <w:rsid w:val="009F7AF2"/>
    <w:rsid w:val="00A01FFD"/>
    <w:rsid w:val="00A0287D"/>
    <w:rsid w:val="00A02AC3"/>
    <w:rsid w:val="00A04226"/>
    <w:rsid w:val="00A05DB8"/>
    <w:rsid w:val="00A06685"/>
    <w:rsid w:val="00A067F5"/>
    <w:rsid w:val="00A06C56"/>
    <w:rsid w:val="00A11A29"/>
    <w:rsid w:val="00A11DEA"/>
    <w:rsid w:val="00A12452"/>
    <w:rsid w:val="00A12B37"/>
    <w:rsid w:val="00A133A1"/>
    <w:rsid w:val="00A1424B"/>
    <w:rsid w:val="00A14D00"/>
    <w:rsid w:val="00A150F1"/>
    <w:rsid w:val="00A151B5"/>
    <w:rsid w:val="00A155C3"/>
    <w:rsid w:val="00A178C2"/>
    <w:rsid w:val="00A17F13"/>
    <w:rsid w:val="00A20679"/>
    <w:rsid w:val="00A21DBA"/>
    <w:rsid w:val="00A22467"/>
    <w:rsid w:val="00A2285D"/>
    <w:rsid w:val="00A22DD0"/>
    <w:rsid w:val="00A23001"/>
    <w:rsid w:val="00A23D9E"/>
    <w:rsid w:val="00A24384"/>
    <w:rsid w:val="00A24B3D"/>
    <w:rsid w:val="00A2550B"/>
    <w:rsid w:val="00A26359"/>
    <w:rsid w:val="00A266D1"/>
    <w:rsid w:val="00A26C35"/>
    <w:rsid w:val="00A27426"/>
    <w:rsid w:val="00A27EEA"/>
    <w:rsid w:val="00A30111"/>
    <w:rsid w:val="00A30202"/>
    <w:rsid w:val="00A306EA"/>
    <w:rsid w:val="00A3149A"/>
    <w:rsid w:val="00A31FD2"/>
    <w:rsid w:val="00A3314E"/>
    <w:rsid w:val="00A333A4"/>
    <w:rsid w:val="00A3399D"/>
    <w:rsid w:val="00A34BAB"/>
    <w:rsid w:val="00A35E2F"/>
    <w:rsid w:val="00A37F6D"/>
    <w:rsid w:val="00A4164C"/>
    <w:rsid w:val="00A4222C"/>
    <w:rsid w:val="00A4272B"/>
    <w:rsid w:val="00A429B0"/>
    <w:rsid w:val="00A44B4B"/>
    <w:rsid w:val="00A45413"/>
    <w:rsid w:val="00A465B8"/>
    <w:rsid w:val="00A47B20"/>
    <w:rsid w:val="00A5011B"/>
    <w:rsid w:val="00A51B63"/>
    <w:rsid w:val="00A525AE"/>
    <w:rsid w:val="00A52C08"/>
    <w:rsid w:val="00A52C1C"/>
    <w:rsid w:val="00A530CB"/>
    <w:rsid w:val="00A53F19"/>
    <w:rsid w:val="00A5526D"/>
    <w:rsid w:val="00A5587F"/>
    <w:rsid w:val="00A5634B"/>
    <w:rsid w:val="00A6116F"/>
    <w:rsid w:val="00A61401"/>
    <w:rsid w:val="00A622BD"/>
    <w:rsid w:val="00A62BD0"/>
    <w:rsid w:val="00A6314B"/>
    <w:rsid w:val="00A63224"/>
    <w:rsid w:val="00A63CD0"/>
    <w:rsid w:val="00A65AD5"/>
    <w:rsid w:val="00A660D6"/>
    <w:rsid w:val="00A66C62"/>
    <w:rsid w:val="00A70649"/>
    <w:rsid w:val="00A70AD5"/>
    <w:rsid w:val="00A713BD"/>
    <w:rsid w:val="00A717D4"/>
    <w:rsid w:val="00A72FC1"/>
    <w:rsid w:val="00A75C58"/>
    <w:rsid w:val="00A762E0"/>
    <w:rsid w:val="00A76592"/>
    <w:rsid w:val="00A7726C"/>
    <w:rsid w:val="00A778BD"/>
    <w:rsid w:val="00A77F43"/>
    <w:rsid w:val="00A80B62"/>
    <w:rsid w:val="00A814F9"/>
    <w:rsid w:val="00A8197E"/>
    <w:rsid w:val="00A81A71"/>
    <w:rsid w:val="00A81D6E"/>
    <w:rsid w:val="00A82372"/>
    <w:rsid w:val="00A837AC"/>
    <w:rsid w:val="00A86848"/>
    <w:rsid w:val="00A8780D"/>
    <w:rsid w:val="00A87E05"/>
    <w:rsid w:val="00A87E1D"/>
    <w:rsid w:val="00A90308"/>
    <w:rsid w:val="00A90629"/>
    <w:rsid w:val="00A91D43"/>
    <w:rsid w:val="00A94ACB"/>
    <w:rsid w:val="00A9563F"/>
    <w:rsid w:val="00A959A6"/>
    <w:rsid w:val="00A969D8"/>
    <w:rsid w:val="00A96E55"/>
    <w:rsid w:val="00A96FAC"/>
    <w:rsid w:val="00A97164"/>
    <w:rsid w:val="00AA048D"/>
    <w:rsid w:val="00AA2565"/>
    <w:rsid w:val="00AA2583"/>
    <w:rsid w:val="00AA3852"/>
    <w:rsid w:val="00AA5021"/>
    <w:rsid w:val="00AA6096"/>
    <w:rsid w:val="00AA7617"/>
    <w:rsid w:val="00AA79E2"/>
    <w:rsid w:val="00AB03E0"/>
    <w:rsid w:val="00AB14A5"/>
    <w:rsid w:val="00AB2770"/>
    <w:rsid w:val="00AB28F5"/>
    <w:rsid w:val="00AB33D1"/>
    <w:rsid w:val="00AB3D6A"/>
    <w:rsid w:val="00AB4070"/>
    <w:rsid w:val="00AB440F"/>
    <w:rsid w:val="00AB4980"/>
    <w:rsid w:val="00AB4B22"/>
    <w:rsid w:val="00AB514A"/>
    <w:rsid w:val="00AB53F6"/>
    <w:rsid w:val="00AB67D7"/>
    <w:rsid w:val="00AB7CDE"/>
    <w:rsid w:val="00AB7D76"/>
    <w:rsid w:val="00AC0818"/>
    <w:rsid w:val="00AC1754"/>
    <w:rsid w:val="00AC28A9"/>
    <w:rsid w:val="00AC2915"/>
    <w:rsid w:val="00AC376D"/>
    <w:rsid w:val="00AC3B5A"/>
    <w:rsid w:val="00AC4023"/>
    <w:rsid w:val="00AC516F"/>
    <w:rsid w:val="00AC62CB"/>
    <w:rsid w:val="00AC6734"/>
    <w:rsid w:val="00AC6DED"/>
    <w:rsid w:val="00AC70AC"/>
    <w:rsid w:val="00AC7273"/>
    <w:rsid w:val="00AD09A9"/>
    <w:rsid w:val="00AD2576"/>
    <w:rsid w:val="00AD3675"/>
    <w:rsid w:val="00AD4978"/>
    <w:rsid w:val="00AD4D56"/>
    <w:rsid w:val="00AD4D64"/>
    <w:rsid w:val="00AD4EE3"/>
    <w:rsid w:val="00AD7478"/>
    <w:rsid w:val="00AE068B"/>
    <w:rsid w:val="00AE1C31"/>
    <w:rsid w:val="00AE28A3"/>
    <w:rsid w:val="00AE2B8B"/>
    <w:rsid w:val="00AE308E"/>
    <w:rsid w:val="00AE3A8B"/>
    <w:rsid w:val="00AE6419"/>
    <w:rsid w:val="00AE7921"/>
    <w:rsid w:val="00AF054D"/>
    <w:rsid w:val="00AF09DD"/>
    <w:rsid w:val="00AF1B74"/>
    <w:rsid w:val="00AF1E8C"/>
    <w:rsid w:val="00AF2B53"/>
    <w:rsid w:val="00AF51C4"/>
    <w:rsid w:val="00AF5CAD"/>
    <w:rsid w:val="00AF5FB9"/>
    <w:rsid w:val="00AF6501"/>
    <w:rsid w:val="00AF6882"/>
    <w:rsid w:val="00AF6ED8"/>
    <w:rsid w:val="00B00345"/>
    <w:rsid w:val="00B01A24"/>
    <w:rsid w:val="00B02200"/>
    <w:rsid w:val="00B02607"/>
    <w:rsid w:val="00B03CC3"/>
    <w:rsid w:val="00B03E08"/>
    <w:rsid w:val="00B0426D"/>
    <w:rsid w:val="00B043A0"/>
    <w:rsid w:val="00B043E7"/>
    <w:rsid w:val="00B047BB"/>
    <w:rsid w:val="00B072C6"/>
    <w:rsid w:val="00B0789C"/>
    <w:rsid w:val="00B07D37"/>
    <w:rsid w:val="00B100F7"/>
    <w:rsid w:val="00B1064F"/>
    <w:rsid w:val="00B10F1D"/>
    <w:rsid w:val="00B11A06"/>
    <w:rsid w:val="00B12A16"/>
    <w:rsid w:val="00B14A47"/>
    <w:rsid w:val="00B150EB"/>
    <w:rsid w:val="00B157F1"/>
    <w:rsid w:val="00B15E25"/>
    <w:rsid w:val="00B16D03"/>
    <w:rsid w:val="00B17EAB"/>
    <w:rsid w:val="00B20DAE"/>
    <w:rsid w:val="00B20FF2"/>
    <w:rsid w:val="00B21745"/>
    <w:rsid w:val="00B21EDE"/>
    <w:rsid w:val="00B22D77"/>
    <w:rsid w:val="00B234B9"/>
    <w:rsid w:val="00B24843"/>
    <w:rsid w:val="00B24E34"/>
    <w:rsid w:val="00B254BC"/>
    <w:rsid w:val="00B254E6"/>
    <w:rsid w:val="00B25CAF"/>
    <w:rsid w:val="00B26A3C"/>
    <w:rsid w:val="00B30B95"/>
    <w:rsid w:val="00B30BB6"/>
    <w:rsid w:val="00B319D4"/>
    <w:rsid w:val="00B31E89"/>
    <w:rsid w:val="00B3250D"/>
    <w:rsid w:val="00B33AEE"/>
    <w:rsid w:val="00B34C42"/>
    <w:rsid w:val="00B354C2"/>
    <w:rsid w:val="00B35746"/>
    <w:rsid w:val="00B35E9B"/>
    <w:rsid w:val="00B36AE6"/>
    <w:rsid w:val="00B37370"/>
    <w:rsid w:val="00B41565"/>
    <w:rsid w:val="00B41C35"/>
    <w:rsid w:val="00B41EDC"/>
    <w:rsid w:val="00B42B50"/>
    <w:rsid w:val="00B4518F"/>
    <w:rsid w:val="00B45AEB"/>
    <w:rsid w:val="00B45AF9"/>
    <w:rsid w:val="00B45CB2"/>
    <w:rsid w:val="00B463F5"/>
    <w:rsid w:val="00B465C1"/>
    <w:rsid w:val="00B47C65"/>
    <w:rsid w:val="00B47FD1"/>
    <w:rsid w:val="00B51381"/>
    <w:rsid w:val="00B519B6"/>
    <w:rsid w:val="00B51B34"/>
    <w:rsid w:val="00B51F84"/>
    <w:rsid w:val="00B5358B"/>
    <w:rsid w:val="00B538A7"/>
    <w:rsid w:val="00B53B44"/>
    <w:rsid w:val="00B553B9"/>
    <w:rsid w:val="00B55995"/>
    <w:rsid w:val="00B56956"/>
    <w:rsid w:val="00B56DEC"/>
    <w:rsid w:val="00B5741D"/>
    <w:rsid w:val="00B575CC"/>
    <w:rsid w:val="00B579D7"/>
    <w:rsid w:val="00B60597"/>
    <w:rsid w:val="00B60638"/>
    <w:rsid w:val="00B6233C"/>
    <w:rsid w:val="00B6238E"/>
    <w:rsid w:val="00B62D49"/>
    <w:rsid w:val="00B630ED"/>
    <w:rsid w:val="00B64F00"/>
    <w:rsid w:val="00B701F4"/>
    <w:rsid w:val="00B71952"/>
    <w:rsid w:val="00B721C0"/>
    <w:rsid w:val="00B732A4"/>
    <w:rsid w:val="00B73D77"/>
    <w:rsid w:val="00B74923"/>
    <w:rsid w:val="00B75746"/>
    <w:rsid w:val="00B758A0"/>
    <w:rsid w:val="00B75C1C"/>
    <w:rsid w:val="00B75C33"/>
    <w:rsid w:val="00B763DE"/>
    <w:rsid w:val="00B7697C"/>
    <w:rsid w:val="00B803BE"/>
    <w:rsid w:val="00B815E3"/>
    <w:rsid w:val="00B827B4"/>
    <w:rsid w:val="00B82865"/>
    <w:rsid w:val="00B82D4F"/>
    <w:rsid w:val="00B851EF"/>
    <w:rsid w:val="00B852C3"/>
    <w:rsid w:val="00B866BA"/>
    <w:rsid w:val="00B8760D"/>
    <w:rsid w:val="00B87943"/>
    <w:rsid w:val="00B90520"/>
    <w:rsid w:val="00B90914"/>
    <w:rsid w:val="00B9132A"/>
    <w:rsid w:val="00B91418"/>
    <w:rsid w:val="00B926D8"/>
    <w:rsid w:val="00B929E0"/>
    <w:rsid w:val="00B9345C"/>
    <w:rsid w:val="00B93A68"/>
    <w:rsid w:val="00B94940"/>
    <w:rsid w:val="00B959A2"/>
    <w:rsid w:val="00B9637B"/>
    <w:rsid w:val="00B96892"/>
    <w:rsid w:val="00B96BBE"/>
    <w:rsid w:val="00BA080D"/>
    <w:rsid w:val="00BA13D6"/>
    <w:rsid w:val="00BA1F13"/>
    <w:rsid w:val="00BA200C"/>
    <w:rsid w:val="00BA21FC"/>
    <w:rsid w:val="00BA326D"/>
    <w:rsid w:val="00BA3463"/>
    <w:rsid w:val="00BA35CF"/>
    <w:rsid w:val="00BA4934"/>
    <w:rsid w:val="00BA52B3"/>
    <w:rsid w:val="00BA6EE8"/>
    <w:rsid w:val="00BA76D1"/>
    <w:rsid w:val="00BA78F8"/>
    <w:rsid w:val="00BB00A9"/>
    <w:rsid w:val="00BB0182"/>
    <w:rsid w:val="00BB1007"/>
    <w:rsid w:val="00BB1CF7"/>
    <w:rsid w:val="00BB20FB"/>
    <w:rsid w:val="00BB2B2D"/>
    <w:rsid w:val="00BB315C"/>
    <w:rsid w:val="00BB3CDF"/>
    <w:rsid w:val="00BB4FA6"/>
    <w:rsid w:val="00BB5B1E"/>
    <w:rsid w:val="00BB6C26"/>
    <w:rsid w:val="00BC0808"/>
    <w:rsid w:val="00BC1913"/>
    <w:rsid w:val="00BC19F7"/>
    <w:rsid w:val="00BC1A36"/>
    <w:rsid w:val="00BC1AC9"/>
    <w:rsid w:val="00BC2700"/>
    <w:rsid w:val="00BC35AD"/>
    <w:rsid w:val="00BC4059"/>
    <w:rsid w:val="00BC5421"/>
    <w:rsid w:val="00BC5587"/>
    <w:rsid w:val="00BC5C64"/>
    <w:rsid w:val="00BC6135"/>
    <w:rsid w:val="00BC7282"/>
    <w:rsid w:val="00BD14D6"/>
    <w:rsid w:val="00BD3224"/>
    <w:rsid w:val="00BD3EF3"/>
    <w:rsid w:val="00BD5BB0"/>
    <w:rsid w:val="00BD672F"/>
    <w:rsid w:val="00BE009F"/>
    <w:rsid w:val="00BE178F"/>
    <w:rsid w:val="00BE2BFD"/>
    <w:rsid w:val="00BE3E91"/>
    <w:rsid w:val="00BE4312"/>
    <w:rsid w:val="00BE465C"/>
    <w:rsid w:val="00BE4943"/>
    <w:rsid w:val="00BE63A9"/>
    <w:rsid w:val="00BE7318"/>
    <w:rsid w:val="00BE73F3"/>
    <w:rsid w:val="00BE79E4"/>
    <w:rsid w:val="00BE7C9B"/>
    <w:rsid w:val="00BF017C"/>
    <w:rsid w:val="00BF04E2"/>
    <w:rsid w:val="00BF1FE3"/>
    <w:rsid w:val="00BF23BB"/>
    <w:rsid w:val="00BF241F"/>
    <w:rsid w:val="00BF2A23"/>
    <w:rsid w:val="00BF3736"/>
    <w:rsid w:val="00BF39CD"/>
    <w:rsid w:val="00BF3AAB"/>
    <w:rsid w:val="00BF3CB3"/>
    <w:rsid w:val="00BF3F93"/>
    <w:rsid w:val="00BF56C3"/>
    <w:rsid w:val="00C00E0E"/>
    <w:rsid w:val="00C012E5"/>
    <w:rsid w:val="00C043E3"/>
    <w:rsid w:val="00C06D2C"/>
    <w:rsid w:val="00C116D4"/>
    <w:rsid w:val="00C11FE8"/>
    <w:rsid w:val="00C12EAC"/>
    <w:rsid w:val="00C12F6D"/>
    <w:rsid w:val="00C13FFF"/>
    <w:rsid w:val="00C1446F"/>
    <w:rsid w:val="00C14627"/>
    <w:rsid w:val="00C1688A"/>
    <w:rsid w:val="00C16FB1"/>
    <w:rsid w:val="00C2059D"/>
    <w:rsid w:val="00C2072F"/>
    <w:rsid w:val="00C21423"/>
    <w:rsid w:val="00C23D80"/>
    <w:rsid w:val="00C23D9F"/>
    <w:rsid w:val="00C25BE9"/>
    <w:rsid w:val="00C26FC4"/>
    <w:rsid w:val="00C30B69"/>
    <w:rsid w:val="00C31E0C"/>
    <w:rsid w:val="00C332B4"/>
    <w:rsid w:val="00C3488E"/>
    <w:rsid w:val="00C34FE9"/>
    <w:rsid w:val="00C37B14"/>
    <w:rsid w:val="00C412C3"/>
    <w:rsid w:val="00C41468"/>
    <w:rsid w:val="00C417FC"/>
    <w:rsid w:val="00C4252F"/>
    <w:rsid w:val="00C43797"/>
    <w:rsid w:val="00C44312"/>
    <w:rsid w:val="00C45535"/>
    <w:rsid w:val="00C456FB"/>
    <w:rsid w:val="00C45708"/>
    <w:rsid w:val="00C4578D"/>
    <w:rsid w:val="00C46692"/>
    <w:rsid w:val="00C475DB"/>
    <w:rsid w:val="00C505B0"/>
    <w:rsid w:val="00C519D9"/>
    <w:rsid w:val="00C51EF9"/>
    <w:rsid w:val="00C52207"/>
    <w:rsid w:val="00C52611"/>
    <w:rsid w:val="00C52963"/>
    <w:rsid w:val="00C52CE2"/>
    <w:rsid w:val="00C5564F"/>
    <w:rsid w:val="00C55CF4"/>
    <w:rsid w:val="00C56381"/>
    <w:rsid w:val="00C5638E"/>
    <w:rsid w:val="00C60999"/>
    <w:rsid w:val="00C6210B"/>
    <w:rsid w:val="00C63689"/>
    <w:rsid w:val="00C63EE5"/>
    <w:rsid w:val="00C649D0"/>
    <w:rsid w:val="00C65271"/>
    <w:rsid w:val="00C65590"/>
    <w:rsid w:val="00C66012"/>
    <w:rsid w:val="00C660D4"/>
    <w:rsid w:val="00C66952"/>
    <w:rsid w:val="00C669B7"/>
    <w:rsid w:val="00C67019"/>
    <w:rsid w:val="00C67117"/>
    <w:rsid w:val="00C7088C"/>
    <w:rsid w:val="00C70BC8"/>
    <w:rsid w:val="00C72CEE"/>
    <w:rsid w:val="00C73670"/>
    <w:rsid w:val="00C7425C"/>
    <w:rsid w:val="00C757BA"/>
    <w:rsid w:val="00C75A6A"/>
    <w:rsid w:val="00C76975"/>
    <w:rsid w:val="00C770E4"/>
    <w:rsid w:val="00C777A0"/>
    <w:rsid w:val="00C80C23"/>
    <w:rsid w:val="00C814BA"/>
    <w:rsid w:val="00C8271F"/>
    <w:rsid w:val="00C83614"/>
    <w:rsid w:val="00C84F46"/>
    <w:rsid w:val="00C8575C"/>
    <w:rsid w:val="00C862C5"/>
    <w:rsid w:val="00C863A3"/>
    <w:rsid w:val="00C86F8E"/>
    <w:rsid w:val="00C877BF"/>
    <w:rsid w:val="00C900B1"/>
    <w:rsid w:val="00C90446"/>
    <w:rsid w:val="00C907E3"/>
    <w:rsid w:val="00C931A1"/>
    <w:rsid w:val="00C9413C"/>
    <w:rsid w:val="00C95187"/>
    <w:rsid w:val="00C954F2"/>
    <w:rsid w:val="00C95901"/>
    <w:rsid w:val="00C95B04"/>
    <w:rsid w:val="00C962DB"/>
    <w:rsid w:val="00C96F87"/>
    <w:rsid w:val="00C97BAD"/>
    <w:rsid w:val="00C97BF5"/>
    <w:rsid w:val="00CA0585"/>
    <w:rsid w:val="00CA12E3"/>
    <w:rsid w:val="00CA16DD"/>
    <w:rsid w:val="00CA25E8"/>
    <w:rsid w:val="00CA2653"/>
    <w:rsid w:val="00CA26B6"/>
    <w:rsid w:val="00CA34E7"/>
    <w:rsid w:val="00CA3BE2"/>
    <w:rsid w:val="00CA4E56"/>
    <w:rsid w:val="00CA6A12"/>
    <w:rsid w:val="00CA6E30"/>
    <w:rsid w:val="00CA77C1"/>
    <w:rsid w:val="00CA7AB4"/>
    <w:rsid w:val="00CB0989"/>
    <w:rsid w:val="00CB148D"/>
    <w:rsid w:val="00CB2229"/>
    <w:rsid w:val="00CB2882"/>
    <w:rsid w:val="00CB2BC1"/>
    <w:rsid w:val="00CB3B2F"/>
    <w:rsid w:val="00CB4932"/>
    <w:rsid w:val="00CB515E"/>
    <w:rsid w:val="00CB5290"/>
    <w:rsid w:val="00CB535E"/>
    <w:rsid w:val="00CB6086"/>
    <w:rsid w:val="00CB7514"/>
    <w:rsid w:val="00CC44FD"/>
    <w:rsid w:val="00CC521D"/>
    <w:rsid w:val="00CC5B49"/>
    <w:rsid w:val="00CC6E43"/>
    <w:rsid w:val="00CC73C6"/>
    <w:rsid w:val="00CD1263"/>
    <w:rsid w:val="00CD1441"/>
    <w:rsid w:val="00CD1D11"/>
    <w:rsid w:val="00CD1F59"/>
    <w:rsid w:val="00CD2162"/>
    <w:rsid w:val="00CD297D"/>
    <w:rsid w:val="00CD2D74"/>
    <w:rsid w:val="00CD3B20"/>
    <w:rsid w:val="00CD464E"/>
    <w:rsid w:val="00CD48DE"/>
    <w:rsid w:val="00CD4E43"/>
    <w:rsid w:val="00CD4EAD"/>
    <w:rsid w:val="00CD5B91"/>
    <w:rsid w:val="00CD5EB2"/>
    <w:rsid w:val="00CD7002"/>
    <w:rsid w:val="00CD7496"/>
    <w:rsid w:val="00CE05DA"/>
    <w:rsid w:val="00CE07A8"/>
    <w:rsid w:val="00CE11D6"/>
    <w:rsid w:val="00CE1389"/>
    <w:rsid w:val="00CE1FCF"/>
    <w:rsid w:val="00CE2259"/>
    <w:rsid w:val="00CE2345"/>
    <w:rsid w:val="00CE3F30"/>
    <w:rsid w:val="00CE40AA"/>
    <w:rsid w:val="00CE4512"/>
    <w:rsid w:val="00CE4BC4"/>
    <w:rsid w:val="00CE4C48"/>
    <w:rsid w:val="00CE4F3C"/>
    <w:rsid w:val="00CE52F9"/>
    <w:rsid w:val="00CE5667"/>
    <w:rsid w:val="00CE5BDD"/>
    <w:rsid w:val="00CE5E6E"/>
    <w:rsid w:val="00CE6321"/>
    <w:rsid w:val="00CE7298"/>
    <w:rsid w:val="00CF04C0"/>
    <w:rsid w:val="00CF0C3D"/>
    <w:rsid w:val="00CF2659"/>
    <w:rsid w:val="00CF2979"/>
    <w:rsid w:val="00CF4386"/>
    <w:rsid w:val="00CF5254"/>
    <w:rsid w:val="00CF5428"/>
    <w:rsid w:val="00CF5D52"/>
    <w:rsid w:val="00CF5F2A"/>
    <w:rsid w:val="00CF69F2"/>
    <w:rsid w:val="00D001D5"/>
    <w:rsid w:val="00D00F09"/>
    <w:rsid w:val="00D02CDA"/>
    <w:rsid w:val="00D03AC8"/>
    <w:rsid w:val="00D04763"/>
    <w:rsid w:val="00D04D95"/>
    <w:rsid w:val="00D04E7C"/>
    <w:rsid w:val="00D0664E"/>
    <w:rsid w:val="00D06D5A"/>
    <w:rsid w:val="00D06FFC"/>
    <w:rsid w:val="00D07CE0"/>
    <w:rsid w:val="00D101E5"/>
    <w:rsid w:val="00D1172C"/>
    <w:rsid w:val="00D11978"/>
    <w:rsid w:val="00D12FB7"/>
    <w:rsid w:val="00D16831"/>
    <w:rsid w:val="00D17117"/>
    <w:rsid w:val="00D1767D"/>
    <w:rsid w:val="00D2073B"/>
    <w:rsid w:val="00D20B70"/>
    <w:rsid w:val="00D21BC8"/>
    <w:rsid w:val="00D23360"/>
    <w:rsid w:val="00D245E6"/>
    <w:rsid w:val="00D24E62"/>
    <w:rsid w:val="00D26B28"/>
    <w:rsid w:val="00D26FAC"/>
    <w:rsid w:val="00D3077E"/>
    <w:rsid w:val="00D31F2C"/>
    <w:rsid w:val="00D33EE0"/>
    <w:rsid w:val="00D3538C"/>
    <w:rsid w:val="00D36DC4"/>
    <w:rsid w:val="00D3740E"/>
    <w:rsid w:val="00D37AE2"/>
    <w:rsid w:val="00D41F79"/>
    <w:rsid w:val="00D42C96"/>
    <w:rsid w:val="00D44AF0"/>
    <w:rsid w:val="00D44BF9"/>
    <w:rsid w:val="00D45155"/>
    <w:rsid w:val="00D455AF"/>
    <w:rsid w:val="00D46E0C"/>
    <w:rsid w:val="00D51422"/>
    <w:rsid w:val="00D514CA"/>
    <w:rsid w:val="00D51715"/>
    <w:rsid w:val="00D530FF"/>
    <w:rsid w:val="00D53236"/>
    <w:rsid w:val="00D5329D"/>
    <w:rsid w:val="00D53354"/>
    <w:rsid w:val="00D53D6D"/>
    <w:rsid w:val="00D544C1"/>
    <w:rsid w:val="00D5482E"/>
    <w:rsid w:val="00D548A9"/>
    <w:rsid w:val="00D54F6D"/>
    <w:rsid w:val="00D54FE5"/>
    <w:rsid w:val="00D55962"/>
    <w:rsid w:val="00D567E7"/>
    <w:rsid w:val="00D574F4"/>
    <w:rsid w:val="00D57F31"/>
    <w:rsid w:val="00D60104"/>
    <w:rsid w:val="00D60828"/>
    <w:rsid w:val="00D613B0"/>
    <w:rsid w:val="00D61597"/>
    <w:rsid w:val="00D61D9D"/>
    <w:rsid w:val="00D62682"/>
    <w:rsid w:val="00D63253"/>
    <w:rsid w:val="00D6332F"/>
    <w:rsid w:val="00D63344"/>
    <w:rsid w:val="00D64B29"/>
    <w:rsid w:val="00D64C90"/>
    <w:rsid w:val="00D6555E"/>
    <w:rsid w:val="00D65A3B"/>
    <w:rsid w:val="00D665AA"/>
    <w:rsid w:val="00D66CBB"/>
    <w:rsid w:val="00D66F28"/>
    <w:rsid w:val="00D70259"/>
    <w:rsid w:val="00D70876"/>
    <w:rsid w:val="00D718CD"/>
    <w:rsid w:val="00D71BBA"/>
    <w:rsid w:val="00D72179"/>
    <w:rsid w:val="00D72421"/>
    <w:rsid w:val="00D72C29"/>
    <w:rsid w:val="00D734C4"/>
    <w:rsid w:val="00D735F5"/>
    <w:rsid w:val="00D73900"/>
    <w:rsid w:val="00D742F6"/>
    <w:rsid w:val="00D75396"/>
    <w:rsid w:val="00D7584F"/>
    <w:rsid w:val="00D7598C"/>
    <w:rsid w:val="00D76B89"/>
    <w:rsid w:val="00D77239"/>
    <w:rsid w:val="00D8067A"/>
    <w:rsid w:val="00D80996"/>
    <w:rsid w:val="00D810DF"/>
    <w:rsid w:val="00D825C6"/>
    <w:rsid w:val="00D8285F"/>
    <w:rsid w:val="00D83A3D"/>
    <w:rsid w:val="00D85F82"/>
    <w:rsid w:val="00D8624C"/>
    <w:rsid w:val="00D86368"/>
    <w:rsid w:val="00D867A2"/>
    <w:rsid w:val="00D87B44"/>
    <w:rsid w:val="00D87D5A"/>
    <w:rsid w:val="00D90523"/>
    <w:rsid w:val="00D920D8"/>
    <w:rsid w:val="00D92585"/>
    <w:rsid w:val="00D92647"/>
    <w:rsid w:val="00D92B90"/>
    <w:rsid w:val="00D93874"/>
    <w:rsid w:val="00D9470B"/>
    <w:rsid w:val="00D94B5D"/>
    <w:rsid w:val="00D967AB"/>
    <w:rsid w:val="00D970B7"/>
    <w:rsid w:val="00D9714C"/>
    <w:rsid w:val="00DA0FA1"/>
    <w:rsid w:val="00DA1BAB"/>
    <w:rsid w:val="00DA2BD0"/>
    <w:rsid w:val="00DA2D8A"/>
    <w:rsid w:val="00DA3016"/>
    <w:rsid w:val="00DA3179"/>
    <w:rsid w:val="00DA3734"/>
    <w:rsid w:val="00DA4E3D"/>
    <w:rsid w:val="00DA59BA"/>
    <w:rsid w:val="00DA5CAB"/>
    <w:rsid w:val="00DB1035"/>
    <w:rsid w:val="00DB155A"/>
    <w:rsid w:val="00DB3010"/>
    <w:rsid w:val="00DB341A"/>
    <w:rsid w:val="00DB5AAD"/>
    <w:rsid w:val="00DB68B6"/>
    <w:rsid w:val="00DB690A"/>
    <w:rsid w:val="00DB6A0F"/>
    <w:rsid w:val="00DB72F1"/>
    <w:rsid w:val="00DB7BEB"/>
    <w:rsid w:val="00DB7EC2"/>
    <w:rsid w:val="00DC4FC3"/>
    <w:rsid w:val="00DC5CB4"/>
    <w:rsid w:val="00DC5F5D"/>
    <w:rsid w:val="00DC6110"/>
    <w:rsid w:val="00DC69A7"/>
    <w:rsid w:val="00DC6D15"/>
    <w:rsid w:val="00DC76BD"/>
    <w:rsid w:val="00DD0755"/>
    <w:rsid w:val="00DD07E2"/>
    <w:rsid w:val="00DD3224"/>
    <w:rsid w:val="00DD3EAB"/>
    <w:rsid w:val="00DD4050"/>
    <w:rsid w:val="00DD4094"/>
    <w:rsid w:val="00DD41EF"/>
    <w:rsid w:val="00DD4C1B"/>
    <w:rsid w:val="00DD5EBB"/>
    <w:rsid w:val="00DD692C"/>
    <w:rsid w:val="00DD6A2E"/>
    <w:rsid w:val="00DD7EE7"/>
    <w:rsid w:val="00DD7FE3"/>
    <w:rsid w:val="00DE01F4"/>
    <w:rsid w:val="00DE1B96"/>
    <w:rsid w:val="00DE2314"/>
    <w:rsid w:val="00DE2D3F"/>
    <w:rsid w:val="00DE3AA8"/>
    <w:rsid w:val="00DE3F82"/>
    <w:rsid w:val="00DE422B"/>
    <w:rsid w:val="00DE4F51"/>
    <w:rsid w:val="00DE502D"/>
    <w:rsid w:val="00DE53C0"/>
    <w:rsid w:val="00DE5B08"/>
    <w:rsid w:val="00DE7191"/>
    <w:rsid w:val="00DF164F"/>
    <w:rsid w:val="00DF2065"/>
    <w:rsid w:val="00DF383D"/>
    <w:rsid w:val="00DF3AC7"/>
    <w:rsid w:val="00DF4297"/>
    <w:rsid w:val="00DF7DFB"/>
    <w:rsid w:val="00E0027F"/>
    <w:rsid w:val="00E0057A"/>
    <w:rsid w:val="00E01561"/>
    <w:rsid w:val="00E02661"/>
    <w:rsid w:val="00E03584"/>
    <w:rsid w:val="00E04D91"/>
    <w:rsid w:val="00E0586B"/>
    <w:rsid w:val="00E07EC1"/>
    <w:rsid w:val="00E07FAF"/>
    <w:rsid w:val="00E1013A"/>
    <w:rsid w:val="00E10B36"/>
    <w:rsid w:val="00E10F46"/>
    <w:rsid w:val="00E116AD"/>
    <w:rsid w:val="00E12289"/>
    <w:rsid w:val="00E122CC"/>
    <w:rsid w:val="00E13CD1"/>
    <w:rsid w:val="00E14385"/>
    <w:rsid w:val="00E148AF"/>
    <w:rsid w:val="00E14EE5"/>
    <w:rsid w:val="00E154A8"/>
    <w:rsid w:val="00E157D9"/>
    <w:rsid w:val="00E16075"/>
    <w:rsid w:val="00E16682"/>
    <w:rsid w:val="00E16B15"/>
    <w:rsid w:val="00E172B7"/>
    <w:rsid w:val="00E17597"/>
    <w:rsid w:val="00E17EB6"/>
    <w:rsid w:val="00E17F7D"/>
    <w:rsid w:val="00E20063"/>
    <w:rsid w:val="00E20107"/>
    <w:rsid w:val="00E20614"/>
    <w:rsid w:val="00E209C5"/>
    <w:rsid w:val="00E20D85"/>
    <w:rsid w:val="00E2131D"/>
    <w:rsid w:val="00E218F7"/>
    <w:rsid w:val="00E25C51"/>
    <w:rsid w:val="00E2606C"/>
    <w:rsid w:val="00E26529"/>
    <w:rsid w:val="00E277E9"/>
    <w:rsid w:val="00E30635"/>
    <w:rsid w:val="00E30C27"/>
    <w:rsid w:val="00E327CF"/>
    <w:rsid w:val="00E32C86"/>
    <w:rsid w:val="00E333EC"/>
    <w:rsid w:val="00E33499"/>
    <w:rsid w:val="00E33BF0"/>
    <w:rsid w:val="00E340FA"/>
    <w:rsid w:val="00E34D5F"/>
    <w:rsid w:val="00E35047"/>
    <w:rsid w:val="00E36CED"/>
    <w:rsid w:val="00E36F7F"/>
    <w:rsid w:val="00E37B6D"/>
    <w:rsid w:val="00E40224"/>
    <w:rsid w:val="00E41DAC"/>
    <w:rsid w:val="00E41EF2"/>
    <w:rsid w:val="00E41FC4"/>
    <w:rsid w:val="00E42274"/>
    <w:rsid w:val="00E431DE"/>
    <w:rsid w:val="00E433C2"/>
    <w:rsid w:val="00E43698"/>
    <w:rsid w:val="00E45B6A"/>
    <w:rsid w:val="00E45BB7"/>
    <w:rsid w:val="00E465E6"/>
    <w:rsid w:val="00E46A88"/>
    <w:rsid w:val="00E46FB3"/>
    <w:rsid w:val="00E4718C"/>
    <w:rsid w:val="00E47D3D"/>
    <w:rsid w:val="00E503CB"/>
    <w:rsid w:val="00E508BA"/>
    <w:rsid w:val="00E52068"/>
    <w:rsid w:val="00E522B5"/>
    <w:rsid w:val="00E534A5"/>
    <w:rsid w:val="00E5376E"/>
    <w:rsid w:val="00E53AB7"/>
    <w:rsid w:val="00E547FE"/>
    <w:rsid w:val="00E5496C"/>
    <w:rsid w:val="00E55186"/>
    <w:rsid w:val="00E55584"/>
    <w:rsid w:val="00E60349"/>
    <w:rsid w:val="00E60375"/>
    <w:rsid w:val="00E608B3"/>
    <w:rsid w:val="00E60AFE"/>
    <w:rsid w:val="00E60B08"/>
    <w:rsid w:val="00E62421"/>
    <w:rsid w:val="00E628D4"/>
    <w:rsid w:val="00E6341F"/>
    <w:rsid w:val="00E64409"/>
    <w:rsid w:val="00E646D7"/>
    <w:rsid w:val="00E64AA1"/>
    <w:rsid w:val="00E64F69"/>
    <w:rsid w:val="00E65462"/>
    <w:rsid w:val="00E65566"/>
    <w:rsid w:val="00E6568F"/>
    <w:rsid w:val="00E65FB0"/>
    <w:rsid w:val="00E66093"/>
    <w:rsid w:val="00E66736"/>
    <w:rsid w:val="00E671A9"/>
    <w:rsid w:val="00E6783D"/>
    <w:rsid w:val="00E67B90"/>
    <w:rsid w:val="00E67CCF"/>
    <w:rsid w:val="00E7105D"/>
    <w:rsid w:val="00E7255C"/>
    <w:rsid w:val="00E726E4"/>
    <w:rsid w:val="00E72827"/>
    <w:rsid w:val="00E72F1B"/>
    <w:rsid w:val="00E73CBC"/>
    <w:rsid w:val="00E73FEF"/>
    <w:rsid w:val="00E743F9"/>
    <w:rsid w:val="00E74FD9"/>
    <w:rsid w:val="00E75F74"/>
    <w:rsid w:val="00E771A6"/>
    <w:rsid w:val="00E77A43"/>
    <w:rsid w:val="00E805EC"/>
    <w:rsid w:val="00E808B5"/>
    <w:rsid w:val="00E817FD"/>
    <w:rsid w:val="00E81D44"/>
    <w:rsid w:val="00E82ACC"/>
    <w:rsid w:val="00E82B76"/>
    <w:rsid w:val="00E84F1E"/>
    <w:rsid w:val="00E85EC6"/>
    <w:rsid w:val="00E86B37"/>
    <w:rsid w:val="00E870DC"/>
    <w:rsid w:val="00E87689"/>
    <w:rsid w:val="00E90297"/>
    <w:rsid w:val="00E91114"/>
    <w:rsid w:val="00E913A9"/>
    <w:rsid w:val="00E92408"/>
    <w:rsid w:val="00E9289D"/>
    <w:rsid w:val="00E93829"/>
    <w:rsid w:val="00E94228"/>
    <w:rsid w:val="00E95DCA"/>
    <w:rsid w:val="00E96C60"/>
    <w:rsid w:val="00E97300"/>
    <w:rsid w:val="00E976E2"/>
    <w:rsid w:val="00EA40BB"/>
    <w:rsid w:val="00EA4BED"/>
    <w:rsid w:val="00EA55F2"/>
    <w:rsid w:val="00EA5C4E"/>
    <w:rsid w:val="00EA6070"/>
    <w:rsid w:val="00EA607C"/>
    <w:rsid w:val="00EA60E5"/>
    <w:rsid w:val="00EA6C88"/>
    <w:rsid w:val="00EA7A1C"/>
    <w:rsid w:val="00EB0727"/>
    <w:rsid w:val="00EB07AE"/>
    <w:rsid w:val="00EB1356"/>
    <w:rsid w:val="00EB1763"/>
    <w:rsid w:val="00EB1A23"/>
    <w:rsid w:val="00EB28B3"/>
    <w:rsid w:val="00EB29AA"/>
    <w:rsid w:val="00EB3DF1"/>
    <w:rsid w:val="00EB3EA6"/>
    <w:rsid w:val="00EB5BA6"/>
    <w:rsid w:val="00EC1147"/>
    <w:rsid w:val="00EC2D0C"/>
    <w:rsid w:val="00EC321A"/>
    <w:rsid w:val="00EC34B2"/>
    <w:rsid w:val="00EC3B73"/>
    <w:rsid w:val="00EC45A3"/>
    <w:rsid w:val="00EC65AA"/>
    <w:rsid w:val="00EC6734"/>
    <w:rsid w:val="00EC6DA2"/>
    <w:rsid w:val="00EC7603"/>
    <w:rsid w:val="00EC7C4A"/>
    <w:rsid w:val="00ED0692"/>
    <w:rsid w:val="00ED0C26"/>
    <w:rsid w:val="00ED113C"/>
    <w:rsid w:val="00ED11B0"/>
    <w:rsid w:val="00ED174F"/>
    <w:rsid w:val="00ED2A89"/>
    <w:rsid w:val="00ED2C75"/>
    <w:rsid w:val="00ED363A"/>
    <w:rsid w:val="00ED4DC3"/>
    <w:rsid w:val="00ED5913"/>
    <w:rsid w:val="00ED5A35"/>
    <w:rsid w:val="00ED5F0D"/>
    <w:rsid w:val="00ED6ABD"/>
    <w:rsid w:val="00ED6AF5"/>
    <w:rsid w:val="00EE0B19"/>
    <w:rsid w:val="00EE1562"/>
    <w:rsid w:val="00EE2623"/>
    <w:rsid w:val="00EE2857"/>
    <w:rsid w:val="00EE2CCB"/>
    <w:rsid w:val="00EE3474"/>
    <w:rsid w:val="00EE5793"/>
    <w:rsid w:val="00EE616E"/>
    <w:rsid w:val="00EF00F0"/>
    <w:rsid w:val="00EF06B6"/>
    <w:rsid w:val="00EF11E4"/>
    <w:rsid w:val="00EF3343"/>
    <w:rsid w:val="00EF4060"/>
    <w:rsid w:val="00EF5F76"/>
    <w:rsid w:val="00EF6F87"/>
    <w:rsid w:val="00EF7545"/>
    <w:rsid w:val="00EF7CBA"/>
    <w:rsid w:val="00F00230"/>
    <w:rsid w:val="00F004C0"/>
    <w:rsid w:val="00F00E95"/>
    <w:rsid w:val="00F00EF2"/>
    <w:rsid w:val="00F0260C"/>
    <w:rsid w:val="00F0287A"/>
    <w:rsid w:val="00F02DDF"/>
    <w:rsid w:val="00F07043"/>
    <w:rsid w:val="00F07E3B"/>
    <w:rsid w:val="00F10DDB"/>
    <w:rsid w:val="00F11A44"/>
    <w:rsid w:val="00F12564"/>
    <w:rsid w:val="00F125F8"/>
    <w:rsid w:val="00F12C3A"/>
    <w:rsid w:val="00F1323B"/>
    <w:rsid w:val="00F157A2"/>
    <w:rsid w:val="00F16101"/>
    <w:rsid w:val="00F174CC"/>
    <w:rsid w:val="00F17957"/>
    <w:rsid w:val="00F20437"/>
    <w:rsid w:val="00F2056A"/>
    <w:rsid w:val="00F218BC"/>
    <w:rsid w:val="00F219FC"/>
    <w:rsid w:val="00F24398"/>
    <w:rsid w:val="00F24F9F"/>
    <w:rsid w:val="00F25F6F"/>
    <w:rsid w:val="00F2787D"/>
    <w:rsid w:val="00F30613"/>
    <w:rsid w:val="00F307FB"/>
    <w:rsid w:val="00F312B0"/>
    <w:rsid w:val="00F31ABF"/>
    <w:rsid w:val="00F32185"/>
    <w:rsid w:val="00F3330F"/>
    <w:rsid w:val="00F35F36"/>
    <w:rsid w:val="00F370C8"/>
    <w:rsid w:val="00F37DDB"/>
    <w:rsid w:val="00F401C6"/>
    <w:rsid w:val="00F4050C"/>
    <w:rsid w:val="00F4055E"/>
    <w:rsid w:val="00F4181A"/>
    <w:rsid w:val="00F4195B"/>
    <w:rsid w:val="00F41B31"/>
    <w:rsid w:val="00F4236F"/>
    <w:rsid w:val="00F430ED"/>
    <w:rsid w:val="00F4458E"/>
    <w:rsid w:val="00F450AD"/>
    <w:rsid w:val="00F4668E"/>
    <w:rsid w:val="00F46A7B"/>
    <w:rsid w:val="00F530D5"/>
    <w:rsid w:val="00F535CC"/>
    <w:rsid w:val="00F549A8"/>
    <w:rsid w:val="00F55270"/>
    <w:rsid w:val="00F55B36"/>
    <w:rsid w:val="00F55BA5"/>
    <w:rsid w:val="00F55D3F"/>
    <w:rsid w:val="00F55FF7"/>
    <w:rsid w:val="00F5772E"/>
    <w:rsid w:val="00F602EA"/>
    <w:rsid w:val="00F606C1"/>
    <w:rsid w:val="00F61ACC"/>
    <w:rsid w:val="00F6420D"/>
    <w:rsid w:val="00F64E46"/>
    <w:rsid w:val="00F650C7"/>
    <w:rsid w:val="00F660ED"/>
    <w:rsid w:val="00F66322"/>
    <w:rsid w:val="00F66DA3"/>
    <w:rsid w:val="00F70309"/>
    <w:rsid w:val="00F70E79"/>
    <w:rsid w:val="00F71B1D"/>
    <w:rsid w:val="00F72A46"/>
    <w:rsid w:val="00F73028"/>
    <w:rsid w:val="00F732F6"/>
    <w:rsid w:val="00F73AFC"/>
    <w:rsid w:val="00F74201"/>
    <w:rsid w:val="00F74C6E"/>
    <w:rsid w:val="00F76AEA"/>
    <w:rsid w:val="00F771D1"/>
    <w:rsid w:val="00F77DB2"/>
    <w:rsid w:val="00F80991"/>
    <w:rsid w:val="00F81003"/>
    <w:rsid w:val="00F81BFD"/>
    <w:rsid w:val="00F81C75"/>
    <w:rsid w:val="00F81DD8"/>
    <w:rsid w:val="00F83C74"/>
    <w:rsid w:val="00F844CC"/>
    <w:rsid w:val="00F85206"/>
    <w:rsid w:val="00F852D6"/>
    <w:rsid w:val="00F85D76"/>
    <w:rsid w:val="00F86220"/>
    <w:rsid w:val="00F86B04"/>
    <w:rsid w:val="00F86DB3"/>
    <w:rsid w:val="00F86DEF"/>
    <w:rsid w:val="00F875A3"/>
    <w:rsid w:val="00F87C5D"/>
    <w:rsid w:val="00F90955"/>
    <w:rsid w:val="00F90C44"/>
    <w:rsid w:val="00F91149"/>
    <w:rsid w:val="00F91B63"/>
    <w:rsid w:val="00F92A31"/>
    <w:rsid w:val="00F931F8"/>
    <w:rsid w:val="00F936CB"/>
    <w:rsid w:val="00F939D1"/>
    <w:rsid w:val="00F93B33"/>
    <w:rsid w:val="00F93D9E"/>
    <w:rsid w:val="00F943C7"/>
    <w:rsid w:val="00F9454C"/>
    <w:rsid w:val="00F97F03"/>
    <w:rsid w:val="00FA1523"/>
    <w:rsid w:val="00FA3C16"/>
    <w:rsid w:val="00FA4522"/>
    <w:rsid w:val="00FA4953"/>
    <w:rsid w:val="00FA4FC3"/>
    <w:rsid w:val="00FA526B"/>
    <w:rsid w:val="00FA5B63"/>
    <w:rsid w:val="00FA7CF9"/>
    <w:rsid w:val="00FB1290"/>
    <w:rsid w:val="00FB45BE"/>
    <w:rsid w:val="00FB50B7"/>
    <w:rsid w:val="00FB523B"/>
    <w:rsid w:val="00FB5722"/>
    <w:rsid w:val="00FB664D"/>
    <w:rsid w:val="00FB72D9"/>
    <w:rsid w:val="00FC04B0"/>
    <w:rsid w:val="00FC32F5"/>
    <w:rsid w:val="00FC40F1"/>
    <w:rsid w:val="00FC46BA"/>
    <w:rsid w:val="00FC4D86"/>
    <w:rsid w:val="00FC59DD"/>
    <w:rsid w:val="00FC649A"/>
    <w:rsid w:val="00FC679A"/>
    <w:rsid w:val="00FC71C2"/>
    <w:rsid w:val="00FC7D66"/>
    <w:rsid w:val="00FD0ECB"/>
    <w:rsid w:val="00FD13BA"/>
    <w:rsid w:val="00FD151D"/>
    <w:rsid w:val="00FD185C"/>
    <w:rsid w:val="00FD186F"/>
    <w:rsid w:val="00FD2A2F"/>
    <w:rsid w:val="00FD3038"/>
    <w:rsid w:val="00FD504B"/>
    <w:rsid w:val="00FD5FB6"/>
    <w:rsid w:val="00FD72DE"/>
    <w:rsid w:val="00FD7DE3"/>
    <w:rsid w:val="00FE005B"/>
    <w:rsid w:val="00FE0B62"/>
    <w:rsid w:val="00FE13F5"/>
    <w:rsid w:val="00FE18A1"/>
    <w:rsid w:val="00FE2A5E"/>
    <w:rsid w:val="00FE3066"/>
    <w:rsid w:val="00FE3391"/>
    <w:rsid w:val="00FE4217"/>
    <w:rsid w:val="00FE4676"/>
    <w:rsid w:val="00FE4DBE"/>
    <w:rsid w:val="00FE4DD0"/>
    <w:rsid w:val="00FE4E7E"/>
    <w:rsid w:val="00FE64E2"/>
    <w:rsid w:val="00FE699E"/>
    <w:rsid w:val="00FE704B"/>
    <w:rsid w:val="00FE708E"/>
    <w:rsid w:val="00FF16CC"/>
    <w:rsid w:val="00FF2165"/>
    <w:rsid w:val="00FF4E58"/>
    <w:rsid w:val="00FF68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F1510"/>
  <w14:defaultImageDpi w14:val="0"/>
  <w15:docId w15:val="{67EBBD04-84C6-4BD0-8CED-F5B38F9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FB"/>
    <w:pPr>
      <w:bidi/>
      <w:spacing w:line="300" w:lineRule="exact"/>
    </w:pPr>
    <w:rPr>
      <w:rFonts w:cs="David"/>
      <w:sz w:val="22"/>
    </w:rPr>
  </w:style>
  <w:style w:type="paragraph" w:styleId="Heading1">
    <w:name w:val="heading 1"/>
    <w:basedOn w:val="Normal"/>
    <w:next w:val="Normal"/>
    <w:link w:val="Heading1Char"/>
    <w:uiPriority w:val="9"/>
    <w:qFormat/>
    <w:rsid w:val="00B31E89"/>
    <w:pPr>
      <w:keepNext/>
      <w:keepLines/>
      <w:numPr>
        <w:numId w:val="38"/>
      </w:numPr>
      <w:spacing w:before="240" w:after="240"/>
      <w:outlineLvl w:val="0"/>
    </w:pPr>
    <w:rPr>
      <w:rFonts w:eastAsiaTheme="majorEastAsia"/>
      <w:bCs/>
      <w:sz w:val="28"/>
      <w:szCs w:val="28"/>
    </w:rPr>
  </w:style>
  <w:style w:type="paragraph" w:styleId="Heading2">
    <w:name w:val="heading 2"/>
    <w:basedOn w:val="Normal"/>
    <w:next w:val="Normal"/>
    <w:link w:val="Heading2Char"/>
    <w:uiPriority w:val="9"/>
    <w:unhideWhenUsed/>
    <w:qFormat/>
    <w:rsid w:val="00B31E89"/>
    <w:pPr>
      <w:keepNext/>
      <w:keepLines/>
      <w:numPr>
        <w:ilvl w:val="1"/>
        <w:numId w:val="38"/>
      </w:numPr>
      <w:spacing w:before="240" w:after="240"/>
      <w:outlineLvl w:val="1"/>
    </w:pPr>
    <w:rPr>
      <w:rFonts w:asciiTheme="majorHAnsi" w:eastAsiaTheme="majorEastAsia" w:hAnsiTheme="majorHAnsi"/>
      <w:bCs/>
      <w:sz w:val="26"/>
    </w:rPr>
  </w:style>
  <w:style w:type="paragraph" w:styleId="Heading3">
    <w:name w:val="heading 3"/>
    <w:basedOn w:val="Heading2"/>
    <w:next w:val="Normal"/>
    <w:link w:val="Heading3Char"/>
    <w:uiPriority w:val="9"/>
    <w:unhideWhenUsed/>
    <w:qFormat/>
    <w:rsid w:val="00B31E89"/>
    <w:pPr>
      <w:numPr>
        <w:ilvl w:val="2"/>
      </w:numPr>
      <w:outlineLvl w:val="2"/>
    </w:pPr>
  </w:style>
  <w:style w:type="paragraph" w:styleId="Heading4">
    <w:name w:val="heading 4"/>
    <w:basedOn w:val="Heading3"/>
    <w:next w:val="Normal"/>
    <w:link w:val="Heading4Char"/>
    <w:uiPriority w:val="9"/>
    <w:unhideWhenUsed/>
    <w:qFormat/>
    <w:rsid w:val="00B31E89"/>
    <w:pPr>
      <w:numPr>
        <w:ilvl w:val="3"/>
      </w:numPr>
      <w:outlineLvl w:val="3"/>
    </w:pPr>
  </w:style>
  <w:style w:type="paragraph" w:styleId="Heading5">
    <w:name w:val="heading 5"/>
    <w:basedOn w:val="Normal"/>
    <w:next w:val="Normal"/>
    <w:link w:val="Heading5Char"/>
    <w:uiPriority w:val="9"/>
    <w:semiHidden/>
    <w:unhideWhenUsed/>
    <w:qFormat/>
    <w:rsid w:val="00495348"/>
    <w:pPr>
      <w:keepNext/>
      <w:keepLines/>
      <w:numPr>
        <w:ilvl w:val="4"/>
        <w:numId w:val="38"/>
      </w:numPr>
      <w:spacing w:before="40" w:after="0"/>
      <w:outlineLvl w:val="4"/>
    </w:pPr>
    <w:rPr>
      <w:rFonts w:asciiTheme="majorHAnsi" w:eastAsiaTheme="majorEastAsia" w:hAnsiTheme="majorHAnsi" w:cs="Times New Roman"/>
      <w:color w:val="365F91" w:themeColor="accent1" w:themeShade="BF"/>
    </w:rPr>
  </w:style>
  <w:style w:type="paragraph" w:styleId="Heading6">
    <w:name w:val="heading 6"/>
    <w:basedOn w:val="Normal"/>
    <w:next w:val="Normal"/>
    <w:link w:val="Heading6Char"/>
    <w:uiPriority w:val="9"/>
    <w:semiHidden/>
    <w:unhideWhenUsed/>
    <w:qFormat/>
    <w:rsid w:val="006A4A9E"/>
    <w:pPr>
      <w:keepNext/>
      <w:keepLines/>
      <w:numPr>
        <w:ilvl w:val="5"/>
        <w:numId w:val="38"/>
      </w:numPr>
      <w:spacing w:before="40" w:after="0"/>
      <w:outlineLvl w:val="5"/>
    </w:pPr>
    <w:rPr>
      <w:rFonts w:asciiTheme="majorHAnsi" w:eastAsiaTheme="majorEastAsia" w:hAnsiTheme="majorHAnsi" w:cs="Times New Roman"/>
      <w:color w:val="243F60" w:themeColor="accent1" w:themeShade="7F"/>
    </w:rPr>
  </w:style>
  <w:style w:type="paragraph" w:styleId="Heading7">
    <w:name w:val="heading 7"/>
    <w:basedOn w:val="Normal"/>
    <w:next w:val="Normal"/>
    <w:link w:val="Heading7Char"/>
    <w:uiPriority w:val="9"/>
    <w:semiHidden/>
    <w:unhideWhenUsed/>
    <w:qFormat/>
    <w:rsid w:val="006A4A9E"/>
    <w:pPr>
      <w:keepNext/>
      <w:keepLines/>
      <w:numPr>
        <w:ilvl w:val="6"/>
        <w:numId w:val="38"/>
      </w:numPr>
      <w:spacing w:before="40" w:after="0"/>
      <w:outlineLvl w:val="6"/>
    </w:pPr>
    <w:rPr>
      <w:rFonts w:asciiTheme="majorHAnsi" w:eastAsiaTheme="majorEastAsia" w:hAnsiTheme="majorHAnsi" w:cs="Times New Roman"/>
      <w:i/>
      <w:iCs/>
      <w:color w:val="243F60" w:themeColor="accent1" w:themeShade="7F"/>
    </w:rPr>
  </w:style>
  <w:style w:type="paragraph" w:styleId="Heading8">
    <w:name w:val="heading 8"/>
    <w:basedOn w:val="Normal"/>
    <w:next w:val="Normal"/>
    <w:link w:val="Heading8Char"/>
    <w:uiPriority w:val="9"/>
    <w:semiHidden/>
    <w:unhideWhenUsed/>
    <w:qFormat/>
    <w:rsid w:val="006A4A9E"/>
    <w:pPr>
      <w:keepNext/>
      <w:keepLines/>
      <w:numPr>
        <w:ilvl w:val="7"/>
        <w:numId w:val="38"/>
      </w:numPr>
      <w:spacing w:before="40" w:after="0"/>
      <w:outlineLvl w:val="7"/>
    </w:pPr>
    <w:rPr>
      <w:rFonts w:asciiTheme="majorHAnsi" w:eastAsiaTheme="majorEastAsia" w:hAnsiTheme="majorHAnsi"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6A4A9E"/>
    <w:pPr>
      <w:keepNext/>
      <w:keepLines/>
      <w:numPr>
        <w:ilvl w:val="8"/>
        <w:numId w:val="38"/>
      </w:numPr>
      <w:spacing w:before="40" w:after="0"/>
      <w:outlineLvl w:val="8"/>
    </w:pPr>
    <w:rPr>
      <w:rFonts w:asciiTheme="majorHAnsi" w:eastAsiaTheme="majorEastAsia" w:hAnsiTheme="majorHAnsi"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31E89"/>
    <w:rPr>
      <w:rFonts w:asciiTheme="majorHAnsi" w:eastAsiaTheme="majorEastAsia" w:hAnsiTheme="majorHAnsi" w:cs="Times New Roman"/>
      <w:bCs/>
      <w:sz w:val="26"/>
    </w:rPr>
  </w:style>
  <w:style w:type="character" w:customStyle="1" w:styleId="Heading3Char">
    <w:name w:val="Heading 3 Char"/>
    <w:basedOn w:val="DefaultParagraphFont"/>
    <w:link w:val="Heading3"/>
    <w:uiPriority w:val="9"/>
    <w:locked/>
    <w:rsid w:val="00B31E89"/>
    <w:rPr>
      <w:rFonts w:asciiTheme="majorHAnsi" w:eastAsiaTheme="majorEastAsia" w:hAnsiTheme="majorHAnsi" w:cs="Times New Roman"/>
      <w:bCs/>
      <w:sz w:val="26"/>
    </w:rPr>
  </w:style>
  <w:style w:type="character" w:customStyle="1" w:styleId="Heading4Char">
    <w:name w:val="Heading 4 Char"/>
    <w:basedOn w:val="DefaultParagraphFont"/>
    <w:link w:val="Heading4"/>
    <w:uiPriority w:val="9"/>
    <w:locked/>
    <w:rsid w:val="00B31E89"/>
    <w:rPr>
      <w:rFonts w:asciiTheme="majorHAnsi" w:eastAsiaTheme="majorEastAsia" w:hAnsiTheme="majorHAnsi" w:cs="Times New Roman"/>
      <w:bCs/>
      <w:sz w:val="26"/>
    </w:rPr>
  </w:style>
  <w:style w:type="character" w:customStyle="1" w:styleId="Heading5Char">
    <w:name w:val="Heading 5 Char"/>
    <w:basedOn w:val="DefaultParagraphFont"/>
    <w:link w:val="Heading5"/>
    <w:uiPriority w:val="9"/>
    <w:semiHidden/>
    <w:locked/>
    <w:rsid w:val="00495348"/>
    <w:rPr>
      <w:rFonts w:asciiTheme="majorHAnsi" w:eastAsiaTheme="majorEastAsia" w:hAnsiTheme="majorHAnsi" w:cs="Times New Roman"/>
      <w:color w:val="365F91" w:themeColor="accent1" w:themeShade="BF"/>
      <w:sz w:val="22"/>
      <w:szCs w:val="22"/>
    </w:rPr>
  </w:style>
  <w:style w:type="character" w:customStyle="1" w:styleId="Heading6Char">
    <w:name w:val="Heading 6 Char"/>
    <w:basedOn w:val="DefaultParagraphFont"/>
    <w:link w:val="Heading6"/>
    <w:uiPriority w:val="9"/>
    <w:semiHidden/>
    <w:locked/>
    <w:rsid w:val="006A4A9E"/>
    <w:rPr>
      <w:rFonts w:asciiTheme="majorHAnsi" w:eastAsiaTheme="majorEastAsia" w:hAnsiTheme="majorHAnsi" w:cs="Times New Roman"/>
      <w:color w:val="243F60" w:themeColor="accent1" w:themeShade="7F"/>
      <w:sz w:val="22"/>
    </w:rPr>
  </w:style>
  <w:style w:type="character" w:customStyle="1" w:styleId="Heading7Char">
    <w:name w:val="Heading 7 Char"/>
    <w:basedOn w:val="DefaultParagraphFont"/>
    <w:link w:val="Heading7"/>
    <w:uiPriority w:val="9"/>
    <w:semiHidden/>
    <w:locked/>
    <w:rsid w:val="006A4A9E"/>
    <w:rPr>
      <w:rFonts w:asciiTheme="majorHAnsi" w:eastAsiaTheme="majorEastAsia" w:hAnsiTheme="majorHAnsi" w:cs="Times New Roman"/>
      <w:i/>
      <w:iCs/>
      <w:color w:val="243F60" w:themeColor="accent1" w:themeShade="7F"/>
      <w:sz w:val="22"/>
    </w:rPr>
  </w:style>
  <w:style w:type="character" w:customStyle="1" w:styleId="Heading8Char">
    <w:name w:val="Heading 8 Char"/>
    <w:basedOn w:val="DefaultParagraphFont"/>
    <w:link w:val="Heading8"/>
    <w:uiPriority w:val="9"/>
    <w:semiHidden/>
    <w:locked/>
    <w:rsid w:val="006A4A9E"/>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6A4A9E"/>
    <w:rPr>
      <w:rFonts w:asciiTheme="majorHAnsi" w:eastAsiaTheme="majorEastAsia" w:hAnsiTheme="majorHAnsi" w:cs="Times New Roman"/>
      <w:i/>
      <w:iCs/>
      <w:color w:val="272727" w:themeColor="text1" w:themeTint="D8"/>
      <w:sz w:val="21"/>
      <w:szCs w:val="21"/>
    </w:rPr>
  </w:style>
  <w:style w:type="paragraph" w:styleId="ListParagraph">
    <w:name w:val="List Paragraph"/>
    <w:basedOn w:val="Normal"/>
    <w:uiPriority w:val="34"/>
    <w:qFormat/>
    <w:rsid w:val="001313F7"/>
    <w:pPr>
      <w:ind w:left="720"/>
      <w:contextualSpacing/>
    </w:pPr>
  </w:style>
  <w:style w:type="character" w:customStyle="1" w:styleId="Heading1Char">
    <w:name w:val="Heading 1 Char"/>
    <w:basedOn w:val="DefaultParagraphFont"/>
    <w:link w:val="Heading1"/>
    <w:uiPriority w:val="9"/>
    <w:locked/>
    <w:rsid w:val="00B31E89"/>
    <w:rPr>
      <w:rFonts w:eastAsiaTheme="majorEastAsia" w:cs="Times New Roman"/>
      <w:bCs/>
      <w:sz w:val="28"/>
      <w:szCs w:val="28"/>
    </w:rPr>
  </w:style>
  <w:style w:type="paragraph" w:styleId="FootnoteText">
    <w:name w:val="footnote text"/>
    <w:basedOn w:val="Normal"/>
    <w:link w:val="FootnoteTextChar"/>
    <w:uiPriority w:val="99"/>
    <w:unhideWhenUsed/>
    <w:rsid w:val="00275C93"/>
    <w:pPr>
      <w:spacing w:after="0" w:line="240" w:lineRule="auto"/>
      <w:ind w:left="720" w:hanging="720"/>
    </w:pPr>
    <w:rPr>
      <w:sz w:val="20"/>
      <w:szCs w:val="20"/>
    </w:rPr>
  </w:style>
  <w:style w:type="character" w:styleId="FootnoteReference">
    <w:name w:val="footnote reference"/>
    <w:aliases w:val="header 3,Footnotes refss"/>
    <w:basedOn w:val="DefaultParagraphFont"/>
    <w:uiPriority w:val="99"/>
    <w:unhideWhenUsed/>
    <w:qFormat/>
    <w:rsid w:val="00417973"/>
    <w:rPr>
      <w:rFonts w:cs="Times New Roman"/>
      <w:vertAlign w:val="superscript"/>
    </w:rPr>
  </w:style>
  <w:style w:type="character" w:customStyle="1" w:styleId="FootnoteTextChar">
    <w:name w:val="Footnote Text Char"/>
    <w:basedOn w:val="DefaultParagraphFont"/>
    <w:link w:val="FootnoteText"/>
    <w:uiPriority w:val="99"/>
    <w:locked/>
    <w:rsid w:val="00275C93"/>
    <w:rPr>
      <w:rFonts w:cs="Times New Roman"/>
      <w:sz w:val="20"/>
      <w:szCs w:val="20"/>
    </w:rPr>
  </w:style>
  <w:style w:type="paragraph" w:customStyle="1" w:styleId="p00">
    <w:name w:val="p00"/>
    <w:basedOn w:val="Normal"/>
    <w:rsid w:val="00417973"/>
    <w:pPr>
      <w:spacing w:before="100" w:beforeAutospacing="1" w:after="100" w:afterAutospacing="1" w:line="240" w:lineRule="auto"/>
    </w:pPr>
    <w:rPr>
      <w:rFonts w:cs="Times New Roman"/>
      <w:sz w:val="24"/>
    </w:rPr>
  </w:style>
  <w:style w:type="character" w:customStyle="1" w:styleId="apple-converted-space">
    <w:name w:val="apple-converted-space"/>
    <w:basedOn w:val="DefaultParagraphFont"/>
    <w:rsid w:val="00417973"/>
    <w:rPr>
      <w:rFonts w:cs="Times New Roman"/>
    </w:rPr>
  </w:style>
  <w:style w:type="character" w:customStyle="1" w:styleId="default">
    <w:name w:val="default"/>
    <w:basedOn w:val="DefaultParagraphFont"/>
    <w:rsid w:val="00704948"/>
    <w:rPr>
      <w:rFonts w:cs="David"/>
    </w:rPr>
  </w:style>
  <w:style w:type="paragraph" w:styleId="BalloonText">
    <w:name w:val="Balloon Text"/>
    <w:basedOn w:val="Normal"/>
    <w:link w:val="BalloonTextChar"/>
    <w:uiPriority w:val="99"/>
    <w:semiHidden/>
    <w:unhideWhenUsed/>
    <w:rsid w:val="00417973"/>
    <w:pPr>
      <w:spacing w:after="0" w:line="240" w:lineRule="auto"/>
    </w:pPr>
    <w:rPr>
      <w:rFonts w:ascii="Tahoma" w:hAnsi="Tahoma" w:cs="Tahoma"/>
      <w:sz w:val="16"/>
      <w:szCs w:val="16"/>
    </w:rPr>
  </w:style>
  <w:style w:type="character" w:styleId="CommentReference">
    <w:name w:val="annotation reference"/>
    <w:basedOn w:val="DefaultParagraphFont"/>
    <w:uiPriority w:val="99"/>
    <w:unhideWhenUsed/>
    <w:rsid w:val="00417973"/>
    <w:rPr>
      <w:rFonts w:cs="Times New Roman"/>
      <w:sz w:val="16"/>
      <w:szCs w:val="16"/>
    </w:rPr>
  </w:style>
  <w:style w:type="character" w:customStyle="1" w:styleId="BalloonTextChar">
    <w:name w:val="Balloon Text Char"/>
    <w:basedOn w:val="DefaultParagraphFont"/>
    <w:link w:val="BalloonText"/>
    <w:uiPriority w:val="99"/>
    <w:semiHidden/>
    <w:locked/>
    <w:rsid w:val="00417973"/>
    <w:rPr>
      <w:rFonts w:ascii="Tahoma" w:hAnsi="Tahoma" w:cs="Tahoma"/>
      <w:sz w:val="16"/>
      <w:szCs w:val="16"/>
    </w:rPr>
  </w:style>
  <w:style w:type="paragraph" w:styleId="CommentText">
    <w:name w:val="annotation text"/>
    <w:basedOn w:val="Normal"/>
    <w:link w:val="CommentTextChar"/>
    <w:uiPriority w:val="99"/>
    <w:unhideWhenUsed/>
    <w:rsid w:val="00E60349"/>
    <w:pPr>
      <w:spacing w:line="240" w:lineRule="auto"/>
    </w:pPr>
    <w:rPr>
      <w:sz w:val="20"/>
      <w:szCs w:val="16"/>
    </w:rPr>
  </w:style>
  <w:style w:type="paragraph" w:styleId="CommentSubject">
    <w:name w:val="annotation subject"/>
    <w:basedOn w:val="CommentText"/>
    <w:next w:val="CommentText"/>
    <w:link w:val="CommentSubjectChar"/>
    <w:uiPriority w:val="99"/>
    <w:semiHidden/>
    <w:unhideWhenUsed/>
    <w:rsid w:val="00417973"/>
    <w:rPr>
      <w:b/>
      <w:bCs/>
    </w:rPr>
  </w:style>
  <w:style w:type="character" w:customStyle="1" w:styleId="CommentTextChar">
    <w:name w:val="Comment Text Char"/>
    <w:basedOn w:val="DefaultParagraphFont"/>
    <w:link w:val="CommentText"/>
    <w:uiPriority w:val="99"/>
    <w:locked/>
    <w:rsid w:val="00E60349"/>
    <w:rPr>
      <w:rFonts w:cs="Times New Roman"/>
      <w:sz w:val="16"/>
      <w:szCs w:val="16"/>
    </w:rPr>
  </w:style>
  <w:style w:type="paragraph" w:styleId="Revision">
    <w:name w:val="Revision"/>
    <w:hidden/>
    <w:uiPriority w:val="99"/>
    <w:semiHidden/>
    <w:rsid w:val="00417973"/>
    <w:pPr>
      <w:spacing w:after="0" w:line="240" w:lineRule="auto"/>
      <w:jc w:val="left"/>
    </w:pPr>
    <w:rPr>
      <w:rFonts w:asciiTheme="minorHAnsi" w:hAnsiTheme="minorHAnsi" w:cs="Arial"/>
      <w:sz w:val="22"/>
      <w:szCs w:val="22"/>
    </w:rPr>
  </w:style>
  <w:style w:type="character" w:customStyle="1" w:styleId="CommentSubjectChar">
    <w:name w:val="Comment Subject Char"/>
    <w:basedOn w:val="CommentTextChar"/>
    <w:link w:val="CommentSubject"/>
    <w:uiPriority w:val="99"/>
    <w:semiHidden/>
    <w:locked/>
    <w:rsid w:val="00417973"/>
    <w:rPr>
      <w:rFonts w:asciiTheme="minorHAnsi" w:hAnsiTheme="minorHAnsi" w:cs="Arial"/>
      <w:b/>
      <w:bCs/>
      <w:sz w:val="20"/>
      <w:szCs w:val="20"/>
    </w:rPr>
  </w:style>
  <w:style w:type="paragraph" w:styleId="Header">
    <w:name w:val="header"/>
    <w:basedOn w:val="Normal"/>
    <w:link w:val="HeaderChar"/>
    <w:uiPriority w:val="99"/>
    <w:unhideWhenUsed/>
    <w:rsid w:val="00A306EA"/>
    <w:pPr>
      <w:tabs>
        <w:tab w:val="center" w:pos="4153"/>
        <w:tab w:val="right" w:pos="8306"/>
      </w:tabs>
      <w:spacing w:after="0" w:line="240" w:lineRule="auto"/>
    </w:pPr>
  </w:style>
  <w:style w:type="paragraph" w:styleId="Footer">
    <w:name w:val="footer"/>
    <w:basedOn w:val="Normal"/>
    <w:link w:val="FooterChar"/>
    <w:uiPriority w:val="99"/>
    <w:unhideWhenUsed/>
    <w:rsid w:val="00A306E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306EA"/>
    <w:rPr>
      <w:rFonts w:asciiTheme="minorHAnsi" w:hAnsiTheme="minorHAnsi" w:cs="Arial"/>
      <w:sz w:val="22"/>
      <w:szCs w:val="22"/>
    </w:rPr>
  </w:style>
  <w:style w:type="character" w:styleId="Hyperlink">
    <w:name w:val="Hyperlink"/>
    <w:basedOn w:val="DefaultParagraphFont"/>
    <w:uiPriority w:val="99"/>
    <w:unhideWhenUsed/>
    <w:rsid w:val="008E40CB"/>
    <w:rPr>
      <w:rFonts w:cs="Times New Roman"/>
      <w:color w:val="0000FF" w:themeColor="hyperlink"/>
      <w:u w:val="single"/>
    </w:rPr>
  </w:style>
  <w:style w:type="character" w:customStyle="1" w:styleId="FooterChar">
    <w:name w:val="Footer Char"/>
    <w:basedOn w:val="DefaultParagraphFont"/>
    <w:link w:val="Footer"/>
    <w:uiPriority w:val="99"/>
    <w:locked/>
    <w:rsid w:val="00A306EA"/>
    <w:rPr>
      <w:rFonts w:asciiTheme="minorHAnsi" w:hAnsiTheme="minorHAnsi" w:cs="Arial"/>
      <w:sz w:val="22"/>
      <w:szCs w:val="22"/>
    </w:rPr>
  </w:style>
  <w:style w:type="paragraph" w:customStyle="1" w:styleId="TableBlock">
    <w:name w:val="Table Block"/>
    <w:basedOn w:val="Normal"/>
    <w:rsid w:val="00EF7CBA"/>
    <w:pPr>
      <w:keepLines/>
      <w:widowControl w:val="0"/>
      <w:tabs>
        <w:tab w:val="left" w:pos="624"/>
        <w:tab w:val="left" w:pos="1247"/>
      </w:tabs>
      <w:autoSpaceDE w:val="0"/>
      <w:autoSpaceDN w:val="0"/>
      <w:adjustRightInd w:val="0"/>
      <w:snapToGrid w:val="0"/>
      <w:spacing w:after="0" w:line="360" w:lineRule="auto"/>
      <w:textAlignment w:val="center"/>
    </w:pPr>
    <w:rPr>
      <w:rFonts w:ascii="Arial" w:hAnsi="Arial"/>
      <w:color w:val="000000"/>
      <w:sz w:val="20"/>
      <w:szCs w:val="26"/>
      <w:lang w:eastAsia="ja-JP"/>
    </w:rPr>
  </w:style>
  <w:style w:type="character" w:customStyle="1" w:styleId="big-number">
    <w:name w:val="big-number"/>
    <w:basedOn w:val="DefaultParagraphFont"/>
    <w:rsid w:val="001D4E65"/>
    <w:rPr>
      <w:rFonts w:cs="Times New Roman"/>
    </w:rPr>
  </w:style>
  <w:style w:type="paragraph" w:customStyle="1" w:styleId="p22">
    <w:name w:val="p22"/>
    <w:basedOn w:val="Normal"/>
    <w:rsid w:val="001D4E65"/>
    <w:pPr>
      <w:spacing w:before="100" w:beforeAutospacing="1" w:after="100" w:afterAutospacing="1" w:line="240" w:lineRule="auto"/>
    </w:pPr>
    <w:rPr>
      <w:rFonts w:cs="Times New Roman"/>
      <w:sz w:val="24"/>
    </w:rPr>
  </w:style>
  <w:style w:type="character" w:customStyle="1" w:styleId="UnresolvedMention1">
    <w:name w:val="Unresolved Mention1"/>
    <w:basedOn w:val="DefaultParagraphFont"/>
    <w:uiPriority w:val="99"/>
    <w:semiHidden/>
    <w:unhideWhenUsed/>
    <w:rsid w:val="004508E9"/>
    <w:rPr>
      <w:rFonts w:cs="Times New Roman"/>
      <w:color w:val="808080"/>
      <w:shd w:val="clear" w:color="auto" w:fill="E6E6E6"/>
    </w:rPr>
  </w:style>
  <w:style w:type="character" w:styleId="FollowedHyperlink">
    <w:name w:val="FollowedHyperlink"/>
    <w:basedOn w:val="DefaultParagraphFont"/>
    <w:uiPriority w:val="99"/>
    <w:semiHidden/>
    <w:unhideWhenUsed/>
    <w:rsid w:val="00A622BD"/>
    <w:rPr>
      <w:rFonts w:cs="Times New Roman"/>
      <w:color w:val="800080" w:themeColor="followedHyperlink"/>
      <w:u w:val="single"/>
    </w:rPr>
  </w:style>
  <w:style w:type="character" w:styleId="Emphasis">
    <w:name w:val="Emphasis"/>
    <w:basedOn w:val="DefaultParagraphFont"/>
    <w:uiPriority w:val="20"/>
    <w:qFormat/>
    <w:rsid w:val="00455E7C"/>
    <w:rPr>
      <w:rFonts w:cs="Times New Roman"/>
      <w:i/>
      <w:iCs/>
    </w:rPr>
  </w:style>
  <w:style w:type="paragraph" w:customStyle="1" w:styleId="HeadHatzaotHok">
    <w:name w:val="Head HatzaotHok"/>
    <w:basedOn w:val="Normal"/>
    <w:rsid w:val="00A27426"/>
    <w:pPr>
      <w:keepNext/>
      <w:keepLines/>
      <w:widowControl w:val="0"/>
      <w:autoSpaceDE w:val="0"/>
      <w:autoSpaceDN w:val="0"/>
      <w:adjustRightInd w:val="0"/>
      <w:snapToGrid w:val="0"/>
      <w:spacing w:before="240" w:after="0" w:line="360" w:lineRule="auto"/>
      <w:jc w:val="center"/>
      <w:textAlignment w:val="center"/>
    </w:pPr>
    <w:rPr>
      <w:rFonts w:ascii="Arial" w:hAnsi="Arial"/>
      <w:b/>
      <w:bCs/>
      <w:color w:val="000000"/>
      <w:sz w:val="20"/>
      <w:szCs w:val="26"/>
      <w:lang w:eastAsia="ja-JP"/>
    </w:rPr>
  </w:style>
  <w:style w:type="paragraph" w:customStyle="1" w:styleId="TableText">
    <w:name w:val="Table Text"/>
    <w:basedOn w:val="Normal"/>
    <w:rsid w:val="00A2742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hAnsi="Arial"/>
      <w:color w:val="000000"/>
      <w:sz w:val="20"/>
      <w:szCs w:val="26"/>
      <w:lang w:eastAsia="ja-JP"/>
    </w:rPr>
  </w:style>
  <w:style w:type="paragraph" w:customStyle="1" w:styleId="TableSideHeading">
    <w:name w:val="Table SideHeading"/>
    <w:basedOn w:val="TableText"/>
    <w:rsid w:val="00A27426"/>
  </w:style>
  <w:style w:type="paragraph" w:customStyle="1" w:styleId="HeadDivreiHesber">
    <w:name w:val="Head DivreiHesber"/>
    <w:basedOn w:val="Normal"/>
    <w:rsid w:val="00A27426"/>
    <w:pPr>
      <w:widowControl w:val="0"/>
      <w:autoSpaceDE w:val="0"/>
      <w:autoSpaceDN w:val="0"/>
      <w:adjustRightInd w:val="0"/>
      <w:snapToGrid w:val="0"/>
      <w:spacing w:before="360" w:line="360" w:lineRule="auto"/>
      <w:jc w:val="center"/>
      <w:textAlignment w:val="center"/>
    </w:pPr>
    <w:rPr>
      <w:rFonts w:ascii="Arial" w:hAnsi="Arial"/>
      <w:b/>
      <w:color w:val="000000"/>
      <w:spacing w:val="40"/>
      <w:sz w:val="20"/>
      <w:szCs w:val="26"/>
      <w:lang w:eastAsia="ja-JP"/>
    </w:rPr>
  </w:style>
  <w:style w:type="paragraph" w:customStyle="1" w:styleId="a">
    <w:name w:val="הערת שוליים"/>
    <w:basedOn w:val="FootnoteText"/>
    <w:rsid w:val="00836624"/>
    <w:rPr>
      <w:sz w:val="18"/>
    </w:rPr>
  </w:style>
  <w:style w:type="paragraph" w:styleId="BlockText">
    <w:name w:val="Block Text"/>
    <w:basedOn w:val="Normal"/>
    <w:uiPriority w:val="99"/>
    <w:semiHidden/>
    <w:unhideWhenUsed/>
    <w:rsid w:val="00BE431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EndnoteReference">
    <w:name w:val="endnote reference"/>
    <w:basedOn w:val="DefaultParagraphFont"/>
    <w:uiPriority w:val="99"/>
    <w:semiHidden/>
    <w:unhideWhenUsed/>
    <w:rsid w:val="00C83614"/>
    <w:rPr>
      <w:rFonts w:cs="Times New Roman"/>
      <w:vertAlign w:val="superscript"/>
    </w:rPr>
  </w:style>
  <w:style w:type="character" w:styleId="UnresolvedMention">
    <w:name w:val="Unresolved Mention"/>
    <w:basedOn w:val="DefaultParagraphFont"/>
    <w:uiPriority w:val="99"/>
    <w:semiHidden/>
    <w:unhideWhenUsed/>
    <w:rsid w:val="004F2731"/>
    <w:rPr>
      <w:rFonts w:cs="Times New Roman"/>
      <w:color w:val="605E5C"/>
      <w:shd w:val="clear" w:color="auto" w:fill="E1DFDD"/>
    </w:rPr>
  </w:style>
  <w:style w:type="paragraph" w:customStyle="1" w:styleId="a0">
    <w:name w:val="טקסט מוזח"/>
    <w:basedOn w:val="Normal"/>
    <w:link w:val="Char"/>
    <w:qFormat/>
    <w:rsid w:val="00B31E89"/>
    <w:pPr>
      <w:ind w:firstLine="720"/>
    </w:pPr>
  </w:style>
  <w:style w:type="paragraph" w:customStyle="1" w:styleId="a1">
    <w:name w:val="טקסט"/>
    <w:basedOn w:val="Normal"/>
    <w:link w:val="Char0"/>
    <w:qFormat/>
    <w:rsid w:val="00B31E89"/>
  </w:style>
  <w:style w:type="character" w:customStyle="1" w:styleId="Char">
    <w:name w:val="טקסט מוזח Char"/>
    <w:basedOn w:val="DefaultParagraphFont"/>
    <w:link w:val="a0"/>
    <w:locked/>
    <w:rsid w:val="00B31E89"/>
    <w:rPr>
      <w:rFonts w:cs="Times New Roman"/>
      <w:sz w:val="22"/>
    </w:rPr>
  </w:style>
  <w:style w:type="character" w:customStyle="1" w:styleId="Char0">
    <w:name w:val="טקסט Char"/>
    <w:basedOn w:val="DefaultParagraphFont"/>
    <w:link w:val="a1"/>
    <w:locked/>
    <w:rsid w:val="00B31E89"/>
    <w:rPr>
      <w:rFonts w:cs="Times New Roman"/>
      <w:sz w:val="22"/>
    </w:rPr>
  </w:style>
  <w:style w:type="paragraph" w:styleId="Quote">
    <w:name w:val="Quote"/>
    <w:basedOn w:val="a1"/>
    <w:link w:val="QuoteChar"/>
    <w:uiPriority w:val="29"/>
    <w:qFormat/>
    <w:rsid w:val="006A4A9E"/>
    <w:pPr>
      <w:spacing w:before="240" w:after="240"/>
      <w:ind w:left="720" w:right="720"/>
    </w:pPr>
  </w:style>
  <w:style w:type="paragraph" w:styleId="TOC1">
    <w:name w:val="toc 1"/>
    <w:basedOn w:val="Normal"/>
    <w:next w:val="Normal"/>
    <w:autoRedefine/>
    <w:uiPriority w:val="39"/>
    <w:unhideWhenUsed/>
    <w:rsid w:val="00C95901"/>
    <w:pPr>
      <w:tabs>
        <w:tab w:val="left" w:pos="284"/>
        <w:tab w:val="left" w:pos="660"/>
        <w:tab w:val="right" w:leader="dot" w:pos="8296"/>
      </w:tabs>
      <w:spacing w:after="100"/>
    </w:pPr>
    <w:rPr>
      <w:bCs/>
    </w:rPr>
  </w:style>
  <w:style w:type="character" w:customStyle="1" w:styleId="QuoteChar">
    <w:name w:val="Quote Char"/>
    <w:basedOn w:val="Char0"/>
    <w:link w:val="Quote"/>
    <w:uiPriority w:val="29"/>
    <w:locked/>
    <w:rsid w:val="006A4A9E"/>
    <w:rPr>
      <w:rFonts w:cs="Times New Roman"/>
      <w:sz w:val="22"/>
    </w:rPr>
  </w:style>
  <w:style w:type="paragraph" w:styleId="TOCHeading">
    <w:name w:val="TOC Heading"/>
    <w:basedOn w:val="Heading1"/>
    <w:next w:val="Normal"/>
    <w:uiPriority w:val="39"/>
    <w:unhideWhenUsed/>
    <w:qFormat/>
    <w:rsid w:val="00275C93"/>
    <w:pPr>
      <w:numPr>
        <w:numId w:val="0"/>
      </w:numPr>
      <w:bidi w:val="0"/>
      <w:spacing w:after="0" w:line="259" w:lineRule="auto"/>
      <w:jc w:val="left"/>
      <w:outlineLvl w:val="9"/>
    </w:pPr>
    <w:rPr>
      <w:rFonts w:asciiTheme="majorHAnsi" w:hAnsiTheme="majorHAnsi" w:cs="Times New Roman"/>
      <w:bCs w:val="0"/>
      <w:color w:val="365F91" w:themeColor="accent1" w:themeShade="BF"/>
      <w:sz w:val="32"/>
      <w:szCs w:val="32"/>
      <w:lang w:bidi="ar-SA"/>
    </w:rPr>
  </w:style>
  <w:style w:type="paragraph" w:styleId="TOC2">
    <w:name w:val="toc 2"/>
    <w:basedOn w:val="Normal"/>
    <w:next w:val="Normal"/>
    <w:autoRedefine/>
    <w:uiPriority w:val="39"/>
    <w:unhideWhenUsed/>
    <w:rsid w:val="00C95901"/>
    <w:pPr>
      <w:tabs>
        <w:tab w:val="left" w:pos="851"/>
      </w:tabs>
      <w:spacing w:after="100"/>
      <w:ind w:left="851" w:hanging="567"/>
    </w:pPr>
  </w:style>
  <w:style w:type="paragraph" w:styleId="TOC3">
    <w:name w:val="toc 3"/>
    <w:basedOn w:val="Normal"/>
    <w:next w:val="Normal"/>
    <w:autoRedefine/>
    <w:uiPriority w:val="39"/>
    <w:unhideWhenUsed/>
    <w:rsid w:val="006844B2"/>
    <w:pPr>
      <w:tabs>
        <w:tab w:val="left" w:pos="1418"/>
      </w:tabs>
      <w:spacing w:after="100"/>
      <w:ind w:left="2269" w:hanging="1418"/>
    </w:pPr>
  </w:style>
  <w:style w:type="paragraph" w:styleId="TOC4">
    <w:name w:val="toc 4"/>
    <w:basedOn w:val="Normal"/>
    <w:next w:val="Normal"/>
    <w:autoRedefine/>
    <w:uiPriority w:val="39"/>
    <w:unhideWhenUsed/>
    <w:rsid w:val="006844B2"/>
    <w:pPr>
      <w:tabs>
        <w:tab w:val="left" w:pos="1418"/>
      </w:tabs>
      <w:spacing w:after="100"/>
      <w:ind w:left="1854" w:hanging="720"/>
    </w:pPr>
  </w:style>
  <w:style w:type="paragraph" w:styleId="EndnoteText">
    <w:name w:val="endnote text"/>
    <w:basedOn w:val="Normal"/>
    <w:link w:val="EndnoteTextChar"/>
    <w:uiPriority w:val="99"/>
    <w:semiHidden/>
    <w:unhideWhenUsed/>
    <w:rsid w:val="000867B6"/>
    <w:pPr>
      <w:spacing w:after="0" w:line="240" w:lineRule="auto"/>
    </w:pPr>
    <w:rPr>
      <w:sz w:val="20"/>
      <w:szCs w:val="20"/>
    </w:rPr>
  </w:style>
  <w:style w:type="character" w:customStyle="1" w:styleId="small-caps">
    <w:name w:val="small-caps"/>
    <w:basedOn w:val="DefaultParagraphFont"/>
    <w:rsid w:val="009D6CDD"/>
    <w:rPr>
      <w:rFonts w:cs="Times New Roman"/>
    </w:rPr>
  </w:style>
  <w:style w:type="character" w:customStyle="1" w:styleId="EndnoteTextChar">
    <w:name w:val="Endnote Text Char"/>
    <w:basedOn w:val="DefaultParagraphFont"/>
    <w:link w:val="EndnoteText"/>
    <w:uiPriority w:val="99"/>
    <w:semiHidden/>
    <w:locked/>
    <w:rsid w:val="000867B6"/>
    <w:rPr>
      <w:rFonts w:cs="Times New Roman"/>
      <w:sz w:val="20"/>
      <w:szCs w:val="20"/>
    </w:rPr>
  </w:style>
  <w:style w:type="paragraph" w:customStyle="1" w:styleId="big-header">
    <w:name w:val="big-header"/>
    <w:basedOn w:val="Normal"/>
    <w:rsid w:val="004E7CA0"/>
    <w:pPr>
      <w:keepNext/>
      <w:keepLines/>
      <w:widowControl w:val="0"/>
      <w:tabs>
        <w:tab w:val="left" w:pos="624"/>
        <w:tab w:val="left" w:pos="1021"/>
        <w:tab w:val="left" w:pos="1474"/>
        <w:tab w:val="left" w:pos="1928"/>
        <w:tab w:val="left" w:pos="2381"/>
        <w:tab w:val="left" w:pos="2835"/>
      </w:tabs>
      <w:suppressAutoHyphens/>
      <w:autoSpaceDE w:val="0"/>
      <w:autoSpaceDN w:val="0"/>
      <w:spacing w:before="440" w:line="240" w:lineRule="auto"/>
      <w:ind w:left="2835"/>
      <w:jc w:val="center"/>
    </w:pPr>
    <w:rPr>
      <w:rFonts w:cs="Times New Roman"/>
      <w:noProof/>
      <w:sz w:val="20"/>
      <w:szCs w:val="32"/>
      <w:lang w:eastAsia="he-IL"/>
    </w:rPr>
  </w:style>
  <w:style w:type="paragraph" w:customStyle="1" w:styleId="footnote">
    <w:name w:val="footnote"/>
    <w:basedOn w:val="p00"/>
    <w:rsid w:val="004E7CA0"/>
    <w:pPr>
      <w:widowControl w:val="0"/>
      <w:suppressAutoHyphens/>
      <w:autoSpaceDE w:val="0"/>
      <w:autoSpaceDN w:val="0"/>
      <w:spacing w:before="0" w:beforeAutospacing="0" w:after="0" w:afterAutospacing="0"/>
      <w:ind w:left="2835"/>
    </w:pPr>
    <w:rPr>
      <w:noProof/>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5713">
      <w:marLeft w:val="0"/>
      <w:marRight w:val="0"/>
      <w:marTop w:val="0"/>
      <w:marBottom w:val="0"/>
      <w:divBdr>
        <w:top w:val="none" w:sz="0" w:space="0" w:color="auto"/>
        <w:left w:val="none" w:sz="0" w:space="0" w:color="auto"/>
        <w:bottom w:val="none" w:sz="0" w:space="0" w:color="auto"/>
        <w:right w:val="none" w:sz="0" w:space="0" w:color="auto"/>
      </w:divBdr>
    </w:div>
    <w:div w:id="925115714">
      <w:marLeft w:val="0"/>
      <w:marRight w:val="0"/>
      <w:marTop w:val="0"/>
      <w:marBottom w:val="0"/>
      <w:divBdr>
        <w:top w:val="none" w:sz="0" w:space="0" w:color="auto"/>
        <w:left w:val="none" w:sz="0" w:space="0" w:color="auto"/>
        <w:bottom w:val="none" w:sz="0" w:space="0" w:color="auto"/>
        <w:right w:val="none" w:sz="0" w:space="0" w:color="auto"/>
      </w:divBdr>
    </w:div>
    <w:div w:id="925115715">
      <w:marLeft w:val="0"/>
      <w:marRight w:val="0"/>
      <w:marTop w:val="0"/>
      <w:marBottom w:val="0"/>
      <w:divBdr>
        <w:top w:val="none" w:sz="0" w:space="0" w:color="auto"/>
        <w:left w:val="none" w:sz="0" w:space="0" w:color="auto"/>
        <w:bottom w:val="none" w:sz="0" w:space="0" w:color="auto"/>
        <w:right w:val="none" w:sz="0" w:space="0" w:color="auto"/>
      </w:divBdr>
    </w:div>
    <w:div w:id="925115716">
      <w:marLeft w:val="0"/>
      <w:marRight w:val="0"/>
      <w:marTop w:val="0"/>
      <w:marBottom w:val="0"/>
      <w:divBdr>
        <w:top w:val="none" w:sz="0" w:space="0" w:color="auto"/>
        <w:left w:val="none" w:sz="0" w:space="0" w:color="auto"/>
        <w:bottom w:val="none" w:sz="0" w:space="0" w:color="auto"/>
        <w:right w:val="none" w:sz="0" w:space="0" w:color="auto"/>
      </w:divBdr>
    </w:div>
    <w:div w:id="925115717">
      <w:marLeft w:val="0"/>
      <w:marRight w:val="0"/>
      <w:marTop w:val="0"/>
      <w:marBottom w:val="0"/>
      <w:divBdr>
        <w:top w:val="none" w:sz="0" w:space="0" w:color="auto"/>
        <w:left w:val="none" w:sz="0" w:space="0" w:color="auto"/>
        <w:bottom w:val="none" w:sz="0" w:space="0" w:color="auto"/>
        <w:right w:val="none" w:sz="0" w:space="0" w:color="auto"/>
      </w:divBdr>
    </w:div>
    <w:div w:id="925115718">
      <w:marLeft w:val="0"/>
      <w:marRight w:val="0"/>
      <w:marTop w:val="0"/>
      <w:marBottom w:val="0"/>
      <w:divBdr>
        <w:top w:val="none" w:sz="0" w:space="0" w:color="auto"/>
        <w:left w:val="none" w:sz="0" w:space="0" w:color="auto"/>
        <w:bottom w:val="none" w:sz="0" w:space="0" w:color="auto"/>
        <w:right w:val="none" w:sz="0" w:space="0" w:color="auto"/>
      </w:divBdr>
    </w:div>
    <w:div w:id="925115719">
      <w:marLeft w:val="0"/>
      <w:marRight w:val="0"/>
      <w:marTop w:val="0"/>
      <w:marBottom w:val="0"/>
      <w:divBdr>
        <w:top w:val="none" w:sz="0" w:space="0" w:color="auto"/>
        <w:left w:val="none" w:sz="0" w:space="0" w:color="auto"/>
        <w:bottom w:val="none" w:sz="0" w:space="0" w:color="auto"/>
        <w:right w:val="none" w:sz="0" w:space="0" w:color="auto"/>
      </w:divBdr>
    </w:div>
    <w:div w:id="925115720">
      <w:marLeft w:val="0"/>
      <w:marRight w:val="0"/>
      <w:marTop w:val="0"/>
      <w:marBottom w:val="0"/>
      <w:divBdr>
        <w:top w:val="none" w:sz="0" w:space="0" w:color="auto"/>
        <w:left w:val="none" w:sz="0" w:space="0" w:color="auto"/>
        <w:bottom w:val="none" w:sz="0" w:space="0" w:color="auto"/>
        <w:right w:val="none" w:sz="0" w:space="0" w:color="auto"/>
      </w:divBdr>
    </w:div>
    <w:div w:id="925115721">
      <w:marLeft w:val="0"/>
      <w:marRight w:val="0"/>
      <w:marTop w:val="0"/>
      <w:marBottom w:val="0"/>
      <w:divBdr>
        <w:top w:val="none" w:sz="0" w:space="0" w:color="auto"/>
        <w:left w:val="none" w:sz="0" w:space="0" w:color="auto"/>
        <w:bottom w:val="none" w:sz="0" w:space="0" w:color="auto"/>
        <w:right w:val="none" w:sz="0" w:space="0" w:color="auto"/>
      </w:divBdr>
    </w:div>
    <w:div w:id="925115722">
      <w:marLeft w:val="0"/>
      <w:marRight w:val="0"/>
      <w:marTop w:val="0"/>
      <w:marBottom w:val="0"/>
      <w:divBdr>
        <w:top w:val="none" w:sz="0" w:space="0" w:color="auto"/>
        <w:left w:val="none" w:sz="0" w:space="0" w:color="auto"/>
        <w:bottom w:val="none" w:sz="0" w:space="0" w:color="auto"/>
        <w:right w:val="none" w:sz="0" w:space="0" w:color="auto"/>
      </w:divBdr>
    </w:div>
    <w:div w:id="925115723">
      <w:marLeft w:val="0"/>
      <w:marRight w:val="0"/>
      <w:marTop w:val="0"/>
      <w:marBottom w:val="0"/>
      <w:divBdr>
        <w:top w:val="none" w:sz="0" w:space="0" w:color="auto"/>
        <w:left w:val="none" w:sz="0" w:space="0" w:color="auto"/>
        <w:bottom w:val="none" w:sz="0" w:space="0" w:color="auto"/>
        <w:right w:val="none" w:sz="0" w:space="0" w:color="auto"/>
      </w:divBdr>
    </w:div>
    <w:div w:id="925115724">
      <w:marLeft w:val="0"/>
      <w:marRight w:val="0"/>
      <w:marTop w:val="0"/>
      <w:marBottom w:val="0"/>
      <w:divBdr>
        <w:top w:val="none" w:sz="0" w:space="0" w:color="auto"/>
        <w:left w:val="none" w:sz="0" w:space="0" w:color="auto"/>
        <w:bottom w:val="none" w:sz="0" w:space="0" w:color="auto"/>
        <w:right w:val="none" w:sz="0" w:space="0" w:color="auto"/>
      </w:divBdr>
    </w:div>
    <w:div w:id="925115725">
      <w:marLeft w:val="0"/>
      <w:marRight w:val="0"/>
      <w:marTop w:val="0"/>
      <w:marBottom w:val="0"/>
      <w:divBdr>
        <w:top w:val="none" w:sz="0" w:space="0" w:color="auto"/>
        <w:left w:val="none" w:sz="0" w:space="0" w:color="auto"/>
        <w:bottom w:val="none" w:sz="0" w:space="0" w:color="auto"/>
        <w:right w:val="none" w:sz="0" w:space="0" w:color="auto"/>
      </w:divBdr>
    </w:div>
    <w:div w:id="925115726">
      <w:marLeft w:val="0"/>
      <w:marRight w:val="0"/>
      <w:marTop w:val="0"/>
      <w:marBottom w:val="0"/>
      <w:divBdr>
        <w:top w:val="none" w:sz="0" w:space="0" w:color="auto"/>
        <w:left w:val="none" w:sz="0" w:space="0" w:color="auto"/>
        <w:bottom w:val="none" w:sz="0" w:space="0" w:color="auto"/>
        <w:right w:val="none" w:sz="0" w:space="0" w:color="auto"/>
      </w:divBdr>
    </w:div>
    <w:div w:id="925115727">
      <w:marLeft w:val="0"/>
      <w:marRight w:val="0"/>
      <w:marTop w:val="0"/>
      <w:marBottom w:val="0"/>
      <w:divBdr>
        <w:top w:val="none" w:sz="0" w:space="0" w:color="auto"/>
        <w:left w:val="none" w:sz="0" w:space="0" w:color="auto"/>
        <w:bottom w:val="none" w:sz="0" w:space="0" w:color="auto"/>
        <w:right w:val="none" w:sz="0" w:space="0" w:color="auto"/>
      </w:divBdr>
    </w:div>
    <w:div w:id="925115728">
      <w:marLeft w:val="0"/>
      <w:marRight w:val="0"/>
      <w:marTop w:val="0"/>
      <w:marBottom w:val="0"/>
      <w:divBdr>
        <w:top w:val="none" w:sz="0" w:space="0" w:color="auto"/>
        <w:left w:val="none" w:sz="0" w:space="0" w:color="auto"/>
        <w:bottom w:val="none" w:sz="0" w:space="0" w:color="auto"/>
        <w:right w:val="none" w:sz="0" w:space="0" w:color="auto"/>
      </w:divBdr>
    </w:div>
    <w:div w:id="925115729">
      <w:marLeft w:val="0"/>
      <w:marRight w:val="0"/>
      <w:marTop w:val="0"/>
      <w:marBottom w:val="0"/>
      <w:divBdr>
        <w:top w:val="none" w:sz="0" w:space="0" w:color="auto"/>
        <w:left w:val="none" w:sz="0" w:space="0" w:color="auto"/>
        <w:bottom w:val="none" w:sz="0" w:space="0" w:color="auto"/>
        <w:right w:val="none" w:sz="0" w:space="0" w:color="auto"/>
      </w:divBdr>
    </w:div>
    <w:div w:id="925115730">
      <w:marLeft w:val="0"/>
      <w:marRight w:val="0"/>
      <w:marTop w:val="0"/>
      <w:marBottom w:val="0"/>
      <w:divBdr>
        <w:top w:val="none" w:sz="0" w:space="0" w:color="auto"/>
        <w:left w:val="none" w:sz="0" w:space="0" w:color="auto"/>
        <w:bottom w:val="none" w:sz="0" w:space="0" w:color="auto"/>
        <w:right w:val="none" w:sz="0" w:space="0" w:color="auto"/>
      </w:divBdr>
    </w:div>
    <w:div w:id="925115731">
      <w:marLeft w:val="0"/>
      <w:marRight w:val="0"/>
      <w:marTop w:val="0"/>
      <w:marBottom w:val="0"/>
      <w:divBdr>
        <w:top w:val="none" w:sz="0" w:space="0" w:color="auto"/>
        <w:left w:val="none" w:sz="0" w:space="0" w:color="auto"/>
        <w:bottom w:val="none" w:sz="0" w:space="0" w:color="auto"/>
        <w:right w:val="none" w:sz="0" w:space="0" w:color="auto"/>
      </w:divBdr>
    </w:div>
    <w:div w:id="925115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aw.acri.org.il//pdf/terror010710.pdf" TargetMode="External"/><Relationship Id="rId13" Type="http://schemas.openxmlformats.org/officeDocument/2006/relationships/hyperlink" Target="https://www.idf.il/%D7%90%D7%AA%D7%A8%D7%99%D7%9D/%D7%94%D7%A4%D7%A8%D7%A7%D7%9C%D7%99%D7%98%D7%95%D7%AA-%D7%94%D7%A6%D7%91%D7%90%D7%99%D7%AA/%D7%94%D7%A1%D7%A0%D7%92%D7%95%D7%A8%D7%99%D7%94-%D7%94%D7%A6%D7%91%D7%90%D7%99%D7%AA/" TargetMode="External"/><Relationship Id="rId3" Type="http://schemas.openxmlformats.org/officeDocument/2006/relationships/hyperlink" Target="http://fs.knesset.gov.il/20/law/20_lst_381499.docx" TargetMode="External"/><Relationship Id="rId7" Type="http://schemas.openxmlformats.org/officeDocument/2006/relationships/hyperlink" Target="https://publications.parliament.uk/pa/jt200607/jtselect/jtrights/157/157.pdf" TargetMode="External"/><Relationship Id="rId12" Type="http://schemas.openxmlformats.org/officeDocument/2006/relationships/hyperlink" Target="https://www.idf.il/%D7%90%D7%AA%D7%A8%D7%99%D7%9D/%D7%94%D7%A4%D7%A8%D7%A7%D7%9C%D7%99%D7%98%D7%95%D7%AA-%D7%94%D7%A6%D7%91%D7%90%D7%99%D7%AA/%D7%94%D7%AA%D7%91%D7%99%D7%A2%D7%94-%D7%94%D7%A6%D7%91%D7%90%D7%99%D7%AA/" TargetMode="External"/><Relationship Id="rId2" Type="http://schemas.openxmlformats.org/officeDocument/2006/relationships/hyperlink" Target="http://www.nevo.co.il/Law_word/law18/18.pdf" TargetMode="External"/><Relationship Id="rId1" Type="http://schemas.openxmlformats.org/officeDocument/2006/relationships/hyperlink" Target="file://C:\Users\AppData\Local\Microsoft\AppData\Local\Microsoft\AppData\Local\Microsoft\AppData\Local\Microsoft\AppData\Local\Microsoft\AppData\Local\Microsoft\AppData\Local\Microsoft\Dell\Dropbox\Documents\&#1504;&#1497;&#1500;&#1497;\&#1506;&#1489;&#1493;&#1491;&#1492;\&#1500;&#1511;&#1493;&#1495;&#1493;&#1514;%20&#1508;&#1512;&#1496;&#1497;&#1497;&#1501;\&#1502;&#1488;&#1502;&#1512;&#1497;&#1501;\&#1488;&#1497;&#1500;&#1503;%20&#1505;&#1489;&#1503;\www.justice.gov.il\Units\StateAttorney\Guidelines\05.15.pdf" TargetMode="External"/><Relationship Id="rId6" Type="http://schemas.openxmlformats.org/officeDocument/2006/relationships/hyperlink" Target="https://assets.publishing.service.gov.uk/government/uploads/system/uploads/attachment_data/file/630809/59541_Cm_9462_Accessible.pdf" TargetMode="External"/><Relationship Id="rId11" Type="http://schemas.openxmlformats.org/officeDocument/2006/relationships/hyperlink" Target="http://www.nevo.co.il/Law_word/law70/zava-0234.pdf" TargetMode="External"/><Relationship Id="rId5" Type="http://schemas.openxmlformats.org/officeDocument/2006/relationships/hyperlink" Target="https://fs.knesset.gov.il/globaldocs/MMM/bf70aa75-2f7b-e511-80d1-00155d0ad6b2/2_bf70aa75-2f7b-e511-80d1-00155d0ad6b2_11_9433.pdf" TargetMode="External"/><Relationship Id="rId10" Type="http://schemas.openxmlformats.org/officeDocument/2006/relationships/hyperlink" Target="https://www.gov.il/BlobFolder/reports/annual_2018/he/annual%20report%202018.pdf" TargetMode="External"/><Relationship Id="rId4" Type="http://schemas.openxmlformats.org/officeDocument/2006/relationships/hyperlink" Target="https://www.haokets.org/2015/12/04/%D7%A9%D7%99%D7%A8-%D7%94%D7%9C%D7%9C-%D7%A9%D7%91%D7%98%D7%99-%D7%9C%D7%94%D7%A8%D7%99%D7%A1%D7%AA-%D7%91%D7%AA%D7%99%D7%9D/" TargetMode="External"/><Relationship Id="rId9" Type="http://schemas.openxmlformats.org/officeDocument/2006/relationships/hyperlink" Target="https://www.thebureauinvestigates.com/stories/2012-11-01/special-advocates-the-faces-of-secret-justice" TargetMode="External"/><Relationship Id="rId14" Type="http://schemas.openxmlformats.org/officeDocument/2006/relationships/hyperlink" Target="http://www.gisha.org/UserFiles/File/LegalDocuments/procedures/general/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A128-4A11-4282-8464-9F296F6C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15078</Words>
  <Characters>75392</Characters>
  <Application>Microsoft Office Word</Application>
  <DocSecurity>0</DocSecurity>
  <Lines>628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saban</dc:creator>
  <cp:keywords/>
  <dc:description/>
  <cp:lastModifiedBy>ilan saban</cp:lastModifiedBy>
  <cp:revision>2</cp:revision>
  <dcterms:created xsi:type="dcterms:W3CDTF">2021-07-13T16:42:00Z</dcterms:created>
  <dcterms:modified xsi:type="dcterms:W3CDTF">2021-07-13T16:42:00Z</dcterms:modified>
</cp:coreProperties>
</file>